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B" w:rsidRDefault="004F598B" w:rsidP="004F598B">
      <w:pPr>
        <w:spacing w:line="280" w:lineRule="atLeast"/>
        <w:ind w:right="-2"/>
        <w:rPr>
          <w:rFonts w:ascii="Arial" w:hAnsi="Arial" w:cs="Arial"/>
          <w:bCs/>
          <w:sz w:val="20"/>
          <w:szCs w:val="20"/>
          <w:lang w:val="en-GB"/>
        </w:rPr>
      </w:pPr>
      <w:r w:rsidRPr="008F6093">
        <w:rPr>
          <w:rFonts w:ascii="Arial" w:hAnsi="Arial"/>
          <w:i/>
          <w:color w:val="000000"/>
          <w:sz w:val="20"/>
          <w:lang w:val="en-GB"/>
        </w:rPr>
        <w:t>Table: Structure of LJSE turnover by type of investors (Prime Market)</w:t>
      </w:r>
    </w:p>
    <w:p w:rsidR="004F598B" w:rsidRDefault="004F598B" w:rsidP="004F598B">
      <w:pPr>
        <w:spacing w:line="280" w:lineRule="atLeast"/>
        <w:ind w:right="561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noProof/>
          <w:sz w:val="20"/>
          <w:szCs w:val="20"/>
          <w:lang w:val="sl-SI" w:eastAsia="zh-CN"/>
        </w:rPr>
        <w:drawing>
          <wp:inline distT="0" distB="0" distL="0" distR="0" wp14:anchorId="06ACC3A1" wp14:editId="2CD9B9A7">
            <wp:extent cx="6013094" cy="3101861"/>
            <wp:effectExtent l="0" t="0" r="698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626" cy="3106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98B" w:rsidRPr="003B1742" w:rsidRDefault="004F598B" w:rsidP="004F598B">
      <w:pPr>
        <w:tabs>
          <w:tab w:val="left" w:pos="6612"/>
        </w:tabs>
        <w:spacing w:line="280" w:lineRule="atLeast"/>
        <w:ind w:right="-2"/>
        <w:rPr>
          <w:rFonts w:ascii="Arial" w:hAnsi="Arial"/>
          <w:color w:val="000000"/>
          <w:sz w:val="18"/>
          <w:szCs w:val="18"/>
          <w:lang w:val="en-GB"/>
        </w:rPr>
      </w:pPr>
      <w:r w:rsidRPr="003B1742">
        <w:rPr>
          <w:rFonts w:ascii="Arial" w:hAnsi="Arial"/>
          <w:color w:val="000000"/>
          <w:sz w:val="18"/>
          <w:szCs w:val="18"/>
          <w:lang w:val="en-GB"/>
        </w:rPr>
        <w:t>Source: LJSE, Slovene Central S</w:t>
      </w:r>
      <w:r>
        <w:rPr>
          <w:rFonts w:ascii="Arial" w:hAnsi="Arial"/>
          <w:color w:val="000000"/>
          <w:sz w:val="18"/>
          <w:szCs w:val="18"/>
          <w:lang w:val="en-GB"/>
        </w:rPr>
        <w:t>ecurities Clearing Corporation.</w:t>
      </w:r>
      <w:r>
        <w:rPr>
          <w:rFonts w:ascii="Arial" w:hAnsi="Arial"/>
          <w:color w:val="000000"/>
          <w:sz w:val="18"/>
          <w:szCs w:val="18"/>
          <w:lang w:val="en-GB"/>
        </w:rPr>
        <w:tab/>
      </w:r>
    </w:p>
    <w:p w:rsidR="0095747F" w:rsidRPr="004F598B" w:rsidRDefault="0095747F">
      <w:pPr>
        <w:rPr>
          <w:lang w:val="en-GB"/>
        </w:rPr>
      </w:pPr>
      <w:bookmarkStart w:id="0" w:name="_GoBack"/>
      <w:bookmarkEnd w:id="0"/>
    </w:p>
    <w:sectPr w:rsidR="0095747F" w:rsidRPr="004F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8B"/>
    <w:rsid w:val="004F598B"/>
    <w:rsid w:val="009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999999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8B"/>
    <w:rPr>
      <w:rFonts w:ascii="Tahoma" w:eastAsia="Times New Roman" w:hAnsi="Tahoma" w:cs="Tahoma"/>
      <w:sz w:val="16"/>
      <w:szCs w:val="16"/>
      <w:u w:color="999999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999999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8B"/>
    <w:rPr>
      <w:rFonts w:ascii="Tahoma" w:eastAsia="Times New Roman" w:hAnsi="Tahoma" w:cs="Tahoma"/>
      <w:sz w:val="16"/>
      <w:szCs w:val="16"/>
      <w:u w:color="999999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Zabkar Natasa</dc:creator>
  <cp:lastModifiedBy>Zabkar Natasa</cp:lastModifiedBy>
  <cp:revision>1</cp:revision>
  <dcterms:created xsi:type="dcterms:W3CDTF">2013-09-02T09:47:00Z</dcterms:created>
  <dcterms:modified xsi:type="dcterms:W3CDTF">2013-09-02T09:48:00Z</dcterms:modified>
</cp:coreProperties>
</file>