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F534E" w14:textId="68DC0A83" w:rsidR="00CA7A6E" w:rsidRPr="00CA7A6E" w:rsidRDefault="00CA7A6E" w:rsidP="00CA7A6E">
      <w:pPr>
        <w:tabs>
          <w:tab w:val="left" w:pos="9781"/>
        </w:tabs>
        <w:ind w:right="43"/>
      </w:pPr>
      <w:r>
        <w:t>Zagreb, 24. maj 2016</w:t>
      </w:r>
    </w:p>
    <w:p w14:paraId="3DF5EBC1" w14:textId="77777777" w:rsidR="00CA7A6E" w:rsidRDefault="00CA7A6E" w:rsidP="00CA7A6E">
      <w:pPr>
        <w:pStyle w:val="Headline1"/>
        <w:jc w:val="center"/>
      </w:pPr>
    </w:p>
    <w:p w14:paraId="4DE3AA36" w14:textId="6FAD8E15" w:rsidR="00CA7A6E" w:rsidRPr="00CA7A6E" w:rsidRDefault="00CA7A6E" w:rsidP="00CA7A6E">
      <w:pPr>
        <w:pStyle w:val="Headline1"/>
        <w:jc w:val="center"/>
      </w:pPr>
      <w:r w:rsidRPr="00CA7A6E">
        <w:t>Skupni Dan investitorjev Ljubljanske in Zagrebške borze</w:t>
      </w:r>
    </w:p>
    <w:p w14:paraId="1E622D32" w14:textId="77777777" w:rsidR="00CA7A6E" w:rsidRDefault="00CA7A6E" w:rsidP="00CA7A6E">
      <w:pPr>
        <w:tabs>
          <w:tab w:val="left" w:pos="9781"/>
        </w:tabs>
        <w:ind w:right="43"/>
      </w:pPr>
    </w:p>
    <w:p w14:paraId="1F71E4CD" w14:textId="77777777" w:rsidR="00CA7A6E" w:rsidRPr="007E5803" w:rsidRDefault="00CA7A6E" w:rsidP="00CA7A6E">
      <w:pPr>
        <w:tabs>
          <w:tab w:val="left" w:pos="9781"/>
        </w:tabs>
        <w:ind w:right="43"/>
        <w:rPr>
          <w:b/>
        </w:rPr>
      </w:pPr>
      <w:r w:rsidRPr="00CA7A6E">
        <w:t xml:space="preserve">Danes v Zagrebu poteka že </w:t>
      </w:r>
      <w:r w:rsidRPr="007F249E">
        <w:rPr>
          <w:b/>
        </w:rPr>
        <w:t>tretja skupna Investicijska konferenca Ljubljanske in Zagrebške borze</w:t>
      </w:r>
      <w:r w:rsidRPr="00CA7A6E">
        <w:t xml:space="preserve"> 'Slovenski in hrvaški dan investitorjev'. Letošnja konferenca je </w:t>
      </w:r>
      <w:r w:rsidRPr="00ED344B">
        <w:rPr>
          <w:b/>
        </w:rPr>
        <w:t>najuspešnejša konferenca doslej</w:t>
      </w:r>
      <w:r w:rsidRPr="00CA7A6E">
        <w:t xml:space="preserve">, saj se je </w:t>
      </w:r>
      <w:r w:rsidRPr="007E5803">
        <w:rPr>
          <w:b/>
        </w:rPr>
        <w:t xml:space="preserve">zanimanje za sestanke povečalo kar za 25 %, prav tako pa se je konference udeležilo večje število tujih investitorjev. </w:t>
      </w:r>
    </w:p>
    <w:p w14:paraId="6F633FCC" w14:textId="77777777" w:rsidR="00CA7A6E" w:rsidRPr="00CA7A6E" w:rsidRDefault="00CA7A6E" w:rsidP="00CA7A6E">
      <w:pPr>
        <w:tabs>
          <w:tab w:val="left" w:pos="9781"/>
        </w:tabs>
        <w:ind w:right="43"/>
      </w:pPr>
    </w:p>
    <w:p w14:paraId="4D935F35" w14:textId="77777777" w:rsidR="00CA7A6E" w:rsidRPr="00CA7A6E" w:rsidRDefault="00CA7A6E" w:rsidP="00CA7A6E">
      <w:pPr>
        <w:tabs>
          <w:tab w:val="left" w:pos="9781"/>
        </w:tabs>
        <w:ind w:right="43"/>
      </w:pPr>
      <w:r w:rsidRPr="00CA7A6E">
        <w:t>Predstavlja se 7 slovenskih in 6 hrvaških borznih družb najvišje kakovosti: Atlantic Grupa, Intereuropa, Gorenje, Hrvatski Telekom, Krka, Luka Koper, Luka  Rijeka, Petrol, Podravka, Pozavarovalnica Sava, Tankerska Next Generation, Zavarovalnica Triglav and Valamar Riviera.</w:t>
      </w:r>
    </w:p>
    <w:p w14:paraId="29B855E3" w14:textId="77777777" w:rsidR="00CA7A6E" w:rsidRPr="00CA7A6E" w:rsidRDefault="00CA7A6E" w:rsidP="00CA7A6E">
      <w:pPr>
        <w:tabs>
          <w:tab w:val="left" w:pos="9781"/>
        </w:tabs>
        <w:ind w:right="43"/>
      </w:pPr>
    </w:p>
    <w:p w14:paraId="1FC3B2F1" w14:textId="2F386573" w:rsidR="00CA7A6E" w:rsidRPr="007F249E" w:rsidRDefault="00CA7A6E" w:rsidP="00CA7A6E">
      <w:pPr>
        <w:tabs>
          <w:tab w:val="left" w:pos="9781"/>
        </w:tabs>
        <w:ind w:right="43"/>
        <w:rPr>
          <w:b/>
        </w:rPr>
      </w:pPr>
      <w:r w:rsidRPr="007F249E">
        <w:t>Na dogodku</w:t>
      </w:r>
      <w:r w:rsidRPr="007F249E">
        <w:rPr>
          <w:b/>
        </w:rPr>
        <w:t xml:space="preserve"> sodeluje 28 investicijskih družb ter bank s skupno 65 analitiki oziroma vlagatelji</w:t>
      </w:r>
      <w:r w:rsidRPr="007F249E">
        <w:t>, ki prihajajo</w:t>
      </w:r>
      <w:r w:rsidRPr="007F249E">
        <w:rPr>
          <w:b/>
        </w:rPr>
        <w:t xml:space="preserve"> iz Madžarske, Češke, Estonije, ZDA, Hrvaške </w:t>
      </w:r>
      <w:r w:rsidRPr="007F249E">
        <w:t>in</w:t>
      </w:r>
      <w:r w:rsidRPr="007F249E">
        <w:rPr>
          <w:b/>
        </w:rPr>
        <w:t xml:space="preserve"> Slovenije. </w:t>
      </w:r>
      <w:r w:rsidR="007E560A">
        <w:rPr>
          <w:b/>
        </w:rPr>
        <w:t xml:space="preserve"> </w:t>
      </w:r>
      <w:r w:rsidRPr="007F249E">
        <w:t>Za sestanke</w:t>
      </w:r>
      <w:r w:rsidRPr="007F249E">
        <w:rPr>
          <w:b/>
        </w:rPr>
        <w:t xml:space="preserve"> </w:t>
      </w:r>
      <w:r w:rsidRPr="007F249E">
        <w:t>z družbami je pri</w:t>
      </w:r>
      <w:r w:rsidR="007F249E" w:rsidRPr="007F249E">
        <w:t>s</w:t>
      </w:r>
      <w:r w:rsidRPr="007F249E">
        <w:t>pelo neverjetnih</w:t>
      </w:r>
      <w:r w:rsidRPr="007F249E">
        <w:rPr>
          <w:b/>
        </w:rPr>
        <w:t xml:space="preserve"> 186 prošenj </w:t>
      </w:r>
      <w:r w:rsidRPr="007F249E">
        <w:t>in družbe bodo v enem dnevu opravile kar</w:t>
      </w:r>
      <w:r w:rsidRPr="007F249E">
        <w:rPr>
          <w:b/>
        </w:rPr>
        <w:t xml:space="preserve"> 160 individualnih in skupnih sestankov. </w:t>
      </w:r>
    </w:p>
    <w:p w14:paraId="31B49A59" w14:textId="77777777" w:rsidR="00CA7A6E" w:rsidRPr="00CA7A6E" w:rsidRDefault="00CA7A6E" w:rsidP="00CA7A6E">
      <w:pPr>
        <w:tabs>
          <w:tab w:val="left" w:pos="9781"/>
        </w:tabs>
        <w:ind w:right="43"/>
      </w:pPr>
    </w:p>
    <w:p w14:paraId="78921727" w14:textId="24D85F5E" w:rsidR="00CA7A6E" w:rsidRPr="00CA7A6E" w:rsidRDefault="00CA7A6E" w:rsidP="00CA7A6E">
      <w:pPr>
        <w:tabs>
          <w:tab w:val="left" w:pos="9781"/>
        </w:tabs>
        <w:ind w:right="43"/>
      </w:pPr>
      <w:r w:rsidRPr="00CA7A6E">
        <w:t xml:space="preserve">Gospa Ivana Gažić, predsednica uprave Zagrebške borze, je ob tej priložnosti poudarila naslednje: </w:t>
      </w:r>
      <w:r w:rsidRPr="009A23B6">
        <w:t>»</w:t>
      </w:r>
      <w:r w:rsidR="009A23B6" w:rsidRPr="009A23B6">
        <w:t xml:space="preserve">Zelo smo </w:t>
      </w:r>
      <w:r w:rsidR="00B665B7">
        <w:t>veseli</w:t>
      </w:r>
      <w:r w:rsidR="009A23B6" w:rsidRPr="009A23B6">
        <w:t xml:space="preserve">, da je naša skupna investicijska konferenca prerasla v </w:t>
      </w:r>
      <w:r w:rsidR="00B665B7">
        <w:t>ugleden dogodek, ki potrjuje pomen skupn</w:t>
      </w:r>
      <w:r w:rsidR="00A14B54">
        <w:t>e predstavit</w:t>
      </w:r>
      <w:r w:rsidR="00B665B7">
        <w:t>v</w:t>
      </w:r>
      <w:r w:rsidR="00A14B54">
        <w:t>e</w:t>
      </w:r>
      <w:r w:rsidR="00B665B7">
        <w:t xml:space="preserve"> hrvaškega in slovenskega trga kapitala. </w:t>
      </w:r>
      <w:r w:rsidR="009A23B6" w:rsidRPr="009A23B6">
        <w:t>Vsako leto opažamo porast v interesu vlagateljev, še posebej tuj</w:t>
      </w:r>
      <w:r w:rsidR="00A14B54">
        <w:t>ih, ki letos predstavljajo kar četrtino vseh sodelujoč</w:t>
      </w:r>
      <w:bookmarkStart w:id="0" w:name="_GoBack"/>
      <w:bookmarkEnd w:id="0"/>
      <w:r w:rsidR="009A23B6" w:rsidRPr="009A23B6">
        <w:t>ih investitorjev. Upamo, da bo veliko število sestankov, ki jih bodo podjetja in investitorji izvedli v samo enem dnevu, prineslo nove kvalitetne investicijske projekte obema trgoma</w:t>
      </w:r>
      <w:r w:rsidRPr="009A23B6">
        <w:t>.«</w:t>
      </w:r>
    </w:p>
    <w:p w14:paraId="178F36AB" w14:textId="77777777" w:rsidR="00CA7A6E" w:rsidRPr="00CA7A6E" w:rsidRDefault="00CA7A6E" w:rsidP="00CA7A6E">
      <w:pPr>
        <w:tabs>
          <w:tab w:val="left" w:pos="9781"/>
        </w:tabs>
        <w:ind w:right="43"/>
      </w:pPr>
    </w:p>
    <w:p w14:paraId="6C310F91" w14:textId="77777777" w:rsidR="00CA7A6E" w:rsidRPr="00CA7A6E" w:rsidRDefault="00CA7A6E" w:rsidP="00CA7A6E">
      <w:pPr>
        <w:tabs>
          <w:tab w:val="left" w:pos="9781"/>
        </w:tabs>
        <w:ind w:right="43"/>
      </w:pPr>
      <w:r w:rsidRPr="00CA7A6E">
        <w:t xml:space="preserve">Gospod Andrej Šketa, predsednik uprave Ljubljanske borze, pa je povedal: </w:t>
      </w:r>
      <w:r w:rsidRPr="00CA7A6E">
        <w:rPr>
          <w:lang w:val="hr-HR"/>
        </w:rPr>
        <w:t>»Velik interes vlagateljev potrjuje, da ima regija potencial za rast in da je interes za vlaganje velik. Ta investicijski interes pa je priložnost tudi za druga podjetja, da preko kapitalskega trga financirajo rast in naložbene projekte.«​</w:t>
      </w:r>
    </w:p>
    <w:p w14:paraId="312F1886" w14:textId="77777777" w:rsidR="00CA7A6E" w:rsidRPr="00CA7A6E" w:rsidRDefault="00CA7A6E" w:rsidP="00CA7A6E">
      <w:pPr>
        <w:tabs>
          <w:tab w:val="left" w:pos="9781"/>
        </w:tabs>
        <w:ind w:right="43"/>
      </w:pPr>
    </w:p>
    <w:p w14:paraId="243F8C70" w14:textId="01CF058D" w:rsidR="00CA7A6E" w:rsidRPr="00CA7A6E" w:rsidRDefault="00CA7A6E" w:rsidP="00CA7A6E">
      <w:pPr>
        <w:tabs>
          <w:tab w:val="left" w:pos="9781"/>
        </w:tabs>
        <w:ind w:right="43"/>
      </w:pPr>
      <w:r w:rsidRPr="00CA7A6E">
        <w:t xml:space="preserve">Zagrebška in Ljubljanska borza bosta tudi v prihodnje nadaljevali </w:t>
      </w:r>
      <w:r w:rsidR="007F249E">
        <w:t>s</w:t>
      </w:r>
      <w:r w:rsidRPr="00CA7A6E">
        <w:t xml:space="preserve"> samostojnimi in tudi skupnimi aktivnostmi za  povečanje investicijskega interesa in za nadgradnjo izkazanega zaupanja domačih in mednarodnih vlagateljev.</w:t>
      </w:r>
    </w:p>
    <w:p w14:paraId="34FB7323" w14:textId="77777777" w:rsidR="00CA7A6E" w:rsidRPr="00CA7A6E" w:rsidRDefault="00CA7A6E" w:rsidP="00CA7A6E">
      <w:pPr>
        <w:tabs>
          <w:tab w:val="left" w:pos="9781"/>
        </w:tabs>
        <w:ind w:right="43"/>
      </w:pPr>
    </w:p>
    <w:p w14:paraId="2D7CE660" w14:textId="77777777" w:rsidR="00CA7A6E" w:rsidRPr="00CA7A6E" w:rsidRDefault="00CA7A6E" w:rsidP="00CA7A6E">
      <w:pPr>
        <w:tabs>
          <w:tab w:val="left" w:pos="9781"/>
        </w:tabs>
        <w:ind w:right="43"/>
        <w:rPr>
          <w:sz w:val="18"/>
        </w:rPr>
      </w:pPr>
      <w:r w:rsidRPr="00CA7A6E">
        <w:rPr>
          <w:sz w:val="18"/>
        </w:rPr>
        <w:t>SODELUJOČE DRUŽBE</w:t>
      </w:r>
    </w:p>
    <w:p w14:paraId="102ECA92" w14:textId="07084AD0" w:rsidR="00CA7A6E" w:rsidRPr="00CA7A6E" w:rsidRDefault="00CA7A6E" w:rsidP="00CA7A6E">
      <w:pPr>
        <w:tabs>
          <w:tab w:val="left" w:pos="9781"/>
        </w:tabs>
        <w:ind w:right="43"/>
      </w:pPr>
    </w:p>
    <w:tbl>
      <w:tblPr>
        <w:tblpPr w:leftFromText="180" w:rightFromText="180" w:vertAnchor="text" w:horzAnchor="margin" w:tblpY="12"/>
        <w:tblW w:w="10065" w:type="dxa"/>
        <w:tblBorders>
          <w:insideH w:val="dotted" w:sz="4" w:space="0" w:color="auto"/>
          <w:insideV w:val="dotted" w:sz="4" w:space="0" w:color="auto"/>
        </w:tblBorders>
        <w:tblLook w:val="04A0" w:firstRow="1" w:lastRow="0" w:firstColumn="1" w:lastColumn="0" w:noHBand="0" w:noVBand="1"/>
      </w:tblPr>
      <w:tblGrid>
        <w:gridCol w:w="2269"/>
        <w:gridCol w:w="7796"/>
      </w:tblGrid>
      <w:tr w:rsidR="00CA7A6E" w:rsidRPr="00CA7A6E" w14:paraId="1C85520C" w14:textId="77777777" w:rsidTr="00CA7A6E">
        <w:tc>
          <w:tcPr>
            <w:tcW w:w="2269" w:type="dxa"/>
            <w:shd w:val="clear" w:color="auto" w:fill="auto"/>
          </w:tcPr>
          <w:p w14:paraId="3103145E" w14:textId="77777777" w:rsidR="00CA7A6E" w:rsidRPr="00CA7A6E" w:rsidRDefault="00CA7A6E" w:rsidP="00CA7A6E">
            <w:pPr>
              <w:tabs>
                <w:tab w:val="left" w:pos="9781"/>
              </w:tabs>
              <w:ind w:right="43"/>
              <w:rPr>
                <w:sz w:val="18"/>
              </w:rPr>
            </w:pPr>
            <w:r w:rsidRPr="00CA7A6E">
              <w:rPr>
                <w:sz w:val="18"/>
              </w:rPr>
              <w:t>Ljubjanska borza</w:t>
            </w:r>
          </w:p>
        </w:tc>
        <w:tc>
          <w:tcPr>
            <w:tcW w:w="7796" w:type="dxa"/>
            <w:shd w:val="clear" w:color="auto" w:fill="auto"/>
          </w:tcPr>
          <w:p w14:paraId="5E31187D" w14:textId="77777777" w:rsidR="00CA7A6E" w:rsidRPr="00CA7A6E" w:rsidRDefault="00CA7A6E" w:rsidP="00CA7A6E">
            <w:pPr>
              <w:tabs>
                <w:tab w:val="left" w:pos="9781"/>
              </w:tabs>
              <w:ind w:right="43"/>
              <w:rPr>
                <w:sz w:val="18"/>
              </w:rPr>
            </w:pPr>
            <w:r w:rsidRPr="00CA7A6E">
              <w:rPr>
                <w:sz w:val="18"/>
              </w:rPr>
              <w:t>Gorenje,  Intereuropa, Krka, Luka Koper, Petrol, Pozavarovalnica Sava, Zavarovalnica Triglav</w:t>
            </w:r>
          </w:p>
        </w:tc>
      </w:tr>
      <w:tr w:rsidR="00CA7A6E" w:rsidRPr="00CA7A6E" w14:paraId="07F5CAD5" w14:textId="77777777" w:rsidTr="00CA7A6E">
        <w:tc>
          <w:tcPr>
            <w:tcW w:w="2269" w:type="dxa"/>
            <w:shd w:val="clear" w:color="auto" w:fill="auto"/>
          </w:tcPr>
          <w:p w14:paraId="41A959A5" w14:textId="77777777" w:rsidR="00CA7A6E" w:rsidRPr="00CA7A6E" w:rsidRDefault="00CA7A6E" w:rsidP="00CA7A6E">
            <w:pPr>
              <w:tabs>
                <w:tab w:val="left" w:pos="9781"/>
              </w:tabs>
              <w:ind w:right="43"/>
              <w:rPr>
                <w:sz w:val="18"/>
              </w:rPr>
            </w:pPr>
            <w:r w:rsidRPr="00CA7A6E">
              <w:rPr>
                <w:sz w:val="18"/>
              </w:rPr>
              <w:t>Zagrebška borza</w:t>
            </w:r>
          </w:p>
        </w:tc>
        <w:tc>
          <w:tcPr>
            <w:tcW w:w="7796" w:type="dxa"/>
            <w:shd w:val="clear" w:color="auto" w:fill="auto"/>
          </w:tcPr>
          <w:p w14:paraId="18E0ED21" w14:textId="77777777" w:rsidR="00CA7A6E" w:rsidRPr="00CA7A6E" w:rsidRDefault="00CA7A6E" w:rsidP="00CA7A6E">
            <w:pPr>
              <w:tabs>
                <w:tab w:val="left" w:pos="9781"/>
              </w:tabs>
              <w:ind w:right="43"/>
              <w:rPr>
                <w:sz w:val="18"/>
              </w:rPr>
            </w:pPr>
            <w:r w:rsidRPr="00CA7A6E">
              <w:rPr>
                <w:sz w:val="18"/>
              </w:rPr>
              <w:t>Atlantic Grupa, Hrvatski telekom,  Luka Rijeka, Podravka, Tankerska Next Generation, Valamar Riviera</w:t>
            </w:r>
          </w:p>
        </w:tc>
      </w:tr>
    </w:tbl>
    <w:p w14:paraId="0CB82C73" w14:textId="61068BBD" w:rsidR="00CA7A6E" w:rsidRDefault="00CA7A6E" w:rsidP="00CA7A6E">
      <w:pPr>
        <w:tabs>
          <w:tab w:val="left" w:pos="9781"/>
        </w:tabs>
        <w:ind w:right="43"/>
      </w:pPr>
      <w:r>
        <w:t>Kontakti</w:t>
      </w:r>
      <w:r w:rsidRPr="00CA7A6E">
        <w:t>:</w:t>
      </w:r>
    </w:p>
    <w:p w14:paraId="77A72B87" w14:textId="77777777" w:rsidR="003E3832" w:rsidRDefault="003E3832" w:rsidP="00CA7A6E">
      <w:pPr>
        <w:tabs>
          <w:tab w:val="left" w:pos="9781"/>
        </w:tabs>
        <w:ind w:right="43"/>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3E3832" w14:paraId="79C9B36C" w14:textId="77777777" w:rsidTr="003E3832">
        <w:trPr>
          <w:jc w:val="center"/>
        </w:trPr>
        <w:tc>
          <w:tcPr>
            <w:tcW w:w="4870" w:type="dxa"/>
          </w:tcPr>
          <w:p w14:paraId="04903A25" w14:textId="345F2C26" w:rsidR="003E3832" w:rsidRDefault="003E3832" w:rsidP="003E3832">
            <w:pPr>
              <w:tabs>
                <w:tab w:val="left" w:pos="9781"/>
              </w:tabs>
              <w:ind w:right="43"/>
              <w:jc w:val="center"/>
            </w:pPr>
            <w:proofErr w:type="spellStart"/>
            <w:r w:rsidRPr="00CA7A6E">
              <w:t>Metka</w:t>
            </w:r>
            <w:proofErr w:type="spellEnd"/>
            <w:r w:rsidRPr="00CA7A6E">
              <w:t xml:space="preserve"> </w:t>
            </w:r>
            <w:proofErr w:type="spellStart"/>
            <w:r w:rsidRPr="00CA7A6E">
              <w:t>Šipek</w:t>
            </w:r>
            <w:proofErr w:type="spellEnd"/>
            <w:r w:rsidRPr="00CA7A6E">
              <w:br/>
            </w:r>
            <w:proofErr w:type="spellStart"/>
            <w:r w:rsidRPr="00CA7A6E">
              <w:t>Vodja</w:t>
            </w:r>
            <w:proofErr w:type="spellEnd"/>
            <w:r w:rsidRPr="00CA7A6E">
              <w:t xml:space="preserve">, </w:t>
            </w:r>
            <w:proofErr w:type="spellStart"/>
            <w:r w:rsidRPr="00CA7A6E">
              <w:t>kabinet</w:t>
            </w:r>
            <w:proofErr w:type="spellEnd"/>
            <w:r w:rsidRPr="00CA7A6E">
              <w:t xml:space="preserve"> </w:t>
            </w:r>
            <w:proofErr w:type="spellStart"/>
            <w:r w:rsidRPr="00CA7A6E">
              <w:t>uprave</w:t>
            </w:r>
            <w:proofErr w:type="spellEnd"/>
            <w:r w:rsidRPr="00CA7A6E">
              <w:br/>
            </w:r>
            <w:proofErr w:type="spellStart"/>
            <w:r w:rsidRPr="00CA7A6E">
              <w:t>Slovenska</w:t>
            </w:r>
            <w:proofErr w:type="spellEnd"/>
            <w:r w:rsidRPr="00CA7A6E">
              <w:t xml:space="preserve"> 56 | 1000 Ljubljana | Slovenia</w:t>
            </w:r>
            <w:r w:rsidRPr="00CA7A6E">
              <w:br/>
            </w:r>
            <w:hyperlink r:id="rId10" w:history="1">
              <w:r w:rsidRPr="00CA7A6E">
                <w:rPr>
                  <w:rStyle w:val="Hyperlink"/>
                </w:rPr>
                <w:t>metka.sipek@ljse.si</w:t>
              </w:r>
            </w:hyperlink>
            <w:r w:rsidRPr="00CA7A6E">
              <w:br/>
              <w:t>T +386 1 471 02 21 | F +386 1 471 02 13</w:t>
            </w:r>
            <w:r w:rsidRPr="00CA7A6E">
              <w:br/>
            </w:r>
            <w:hyperlink r:id="rId11" w:history="1">
              <w:r w:rsidRPr="00CA7A6E">
                <w:rPr>
                  <w:rStyle w:val="Hyperlink"/>
                </w:rPr>
                <w:t>www.ljse.si</w:t>
              </w:r>
            </w:hyperlink>
          </w:p>
        </w:tc>
        <w:tc>
          <w:tcPr>
            <w:tcW w:w="4871" w:type="dxa"/>
          </w:tcPr>
          <w:p w14:paraId="2C1341A2" w14:textId="3C2160BD" w:rsidR="003E3832" w:rsidRDefault="003E3832" w:rsidP="003E3832">
            <w:pPr>
              <w:tabs>
                <w:tab w:val="left" w:pos="9781"/>
              </w:tabs>
              <w:ind w:right="43"/>
              <w:jc w:val="center"/>
            </w:pPr>
            <w:proofErr w:type="spellStart"/>
            <w:r w:rsidRPr="00CA7A6E">
              <w:t>Sanda</w:t>
            </w:r>
            <w:proofErr w:type="spellEnd"/>
            <w:r w:rsidRPr="00CA7A6E">
              <w:t xml:space="preserve"> </w:t>
            </w:r>
            <w:proofErr w:type="spellStart"/>
            <w:r w:rsidRPr="00CA7A6E">
              <w:t>Kuhtic</w:t>
            </w:r>
            <w:proofErr w:type="spellEnd"/>
            <w:r w:rsidRPr="00CA7A6E">
              <w:t xml:space="preserve"> </w:t>
            </w:r>
            <w:proofErr w:type="spellStart"/>
            <w:r w:rsidRPr="00CA7A6E">
              <w:t>Nalis</w:t>
            </w:r>
            <w:proofErr w:type="spellEnd"/>
            <w:r w:rsidRPr="00CA7A6E">
              <w:br/>
            </w:r>
            <w:proofErr w:type="spellStart"/>
            <w:r w:rsidRPr="00CA7A6E">
              <w:t>Vodja</w:t>
            </w:r>
            <w:proofErr w:type="spellEnd"/>
            <w:r w:rsidRPr="00CA7A6E">
              <w:t xml:space="preserve"> </w:t>
            </w:r>
            <w:proofErr w:type="spellStart"/>
            <w:r w:rsidRPr="00CA7A6E">
              <w:t>korporativnega</w:t>
            </w:r>
            <w:proofErr w:type="spellEnd"/>
            <w:r w:rsidRPr="00CA7A6E">
              <w:t xml:space="preserve"> </w:t>
            </w:r>
            <w:proofErr w:type="spellStart"/>
            <w:r w:rsidRPr="00CA7A6E">
              <w:t>komuniciranja</w:t>
            </w:r>
            <w:proofErr w:type="spellEnd"/>
            <w:r w:rsidRPr="00CA7A6E">
              <w:br/>
              <w:t xml:space="preserve">Ivana </w:t>
            </w:r>
            <w:proofErr w:type="spellStart"/>
            <w:r w:rsidRPr="00CA7A6E">
              <w:t>Lucica</w:t>
            </w:r>
            <w:proofErr w:type="spellEnd"/>
            <w:r w:rsidRPr="00CA7A6E">
              <w:t xml:space="preserve"> 2a | 10 000 Zagreb | Croatia</w:t>
            </w:r>
            <w:r w:rsidRPr="00CA7A6E">
              <w:br/>
            </w:r>
            <w:hyperlink r:id="rId12" w:history="1">
              <w:r w:rsidRPr="00CA7A6E">
                <w:rPr>
                  <w:rStyle w:val="Hyperlink"/>
                </w:rPr>
                <w:t>sanda.kuhtic@zse.hr</w:t>
              </w:r>
            </w:hyperlink>
            <w:r w:rsidRPr="00CA7A6E">
              <w:br/>
              <w:t>T +385 1 4686 804 | F +385 1 4677 680</w:t>
            </w:r>
            <w:r w:rsidRPr="00CA7A6E">
              <w:br/>
            </w:r>
            <w:hyperlink r:id="rId13" w:history="1">
              <w:r w:rsidRPr="00CA7A6E">
                <w:rPr>
                  <w:rStyle w:val="Hyperlink"/>
                </w:rPr>
                <w:t>www.zse.hr</w:t>
              </w:r>
            </w:hyperlink>
          </w:p>
        </w:tc>
      </w:tr>
    </w:tbl>
    <w:p w14:paraId="36DF0BCE" w14:textId="77777777" w:rsidR="006F1031" w:rsidRDefault="006F1031" w:rsidP="000635CF">
      <w:pPr>
        <w:tabs>
          <w:tab w:val="left" w:pos="9781"/>
        </w:tabs>
        <w:ind w:right="43"/>
      </w:pPr>
    </w:p>
    <w:sectPr w:rsidR="006F1031" w:rsidSect="007F249E">
      <w:headerReference w:type="default" r:id="rId14"/>
      <w:pgSz w:w="11906" w:h="16838" w:code="9"/>
      <w:pgMar w:top="2102" w:right="566" w:bottom="1134" w:left="1418" w:header="2121"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0DB13" w14:textId="77777777" w:rsidR="006C4FB1" w:rsidRDefault="006C4FB1">
      <w:r>
        <w:separator/>
      </w:r>
    </w:p>
  </w:endnote>
  <w:endnote w:type="continuationSeparator" w:id="0">
    <w:p w14:paraId="39C48348" w14:textId="77777777" w:rsidR="006C4FB1" w:rsidRDefault="006C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ADE98" w14:textId="77777777" w:rsidR="006C4FB1" w:rsidRDefault="006C4FB1">
      <w:r>
        <w:separator/>
      </w:r>
    </w:p>
  </w:footnote>
  <w:footnote w:type="continuationSeparator" w:id="0">
    <w:p w14:paraId="2863F205" w14:textId="77777777" w:rsidR="006C4FB1" w:rsidRDefault="006C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33B05" w14:textId="450ABD29" w:rsidR="00D52390" w:rsidRDefault="00CA7A6E">
    <w:r>
      <w:rPr>
        <w:noProof/>
        <w:lang w:eastAsia="sl-SI"/>
      </w:rPr>
      <w:drawing>
        <wp:anchor distT="0" distB="0" distL="114300" distR="114300" simplePos="0" relativeHeight="251661312" behindDoc="1" locked="0" layoutInCell="1" allowOverlap="1" wp14:anchorId="4807A27D" wp14:editId="0F13C886">
          <wp:simplePos x="0" y="0"/>
          <wp:positionH relativeFrom="column">
            <wp:posOffset>-194310</wp:posOffset>
          </wp:positionH>
          <wp:positionV relativeFrom="paragraph">
            <wp:posOffset>-1211580</wp:posOffset>
          </wp:positionV>
          <wp:extent cx="1285875" cy="1285875"/>
          <wp:effectExtent l="0" t="0" r="9525" b="9525"/>
          <wp:wrapTight wrapText="bothSides">
            <wp:wrapPolygon edited="0">
              <wp:start x="0" y="0"/>
              <wp:lineTo x="0" y="21440"/>
              <wp:lineTo x="21440" y="21440"/>
              <wp:lineTo x="21440" y="0"/>
              <wp:lineTo x="0" y="0"/>
            </wp:wrapPolygon>
          </wp:wrapTight>
          <wp:docPr id="23" name="Picture 23" descr="C:\Users\metka.sipek\AppData\Local\Microsoft\Windows\INetCache\Content.Word\Zagrebacka-burza---logo-vertikal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ka.sipek\AppData\Local\Microsoft\Windows\INetCache\Content.Word\Zagrebacka-burza---logo-vertikal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B8F">
      <w:rPr>
        <w:noProof/>
        <w:lang w:eastAsia="sl-SI"/>
      </w:rPr>
      <w:drawing>
        <wp:anchor distT="0" distB="0" distL="114300" distR="114300" simplePos="0" relativeHeight="251659264" behindDoc="0" locked="0" layoutInCell="1" allowOverlap="1" wp14:anchorId="5960725A" wp14:editId="39ED8E47">
          <wp:simplePos x="0" y="0"/>
          <wp:positionH relativeFrom="page">
            <wp:posOffset>5510233</wp:posOffset>
          </wp:positionH>
          <wp:positionV relativeFrom="topMargin">
            <wp:posOffset>427355</wp:posOffset>
          </wp:positionV>
          <wp:extent cx="1439744" cy="66985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39744" cy="66985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8E9C0C"/>
    <w:lvl w:ilvl="0">
      <w:start w:val="1"/>
      <w:numFmt w:val="bullet"/>
      <w:lvlText w:val=""/>
      <w:lvlJc w:val="left"/>
      <w:pPr>
        <w:tabs>
          <w:tab w:val="num" w:pos="360"/>
        </w:tabs>
        <w:ind w:left="360" w:hanging="360"/>
      </w:pPr>
      <w:rPr>
        <w:rFonts w:ascii="Symbol" w:hAnsi="Symbol" w:hint="default"/>
      </w:rPr>
    </w:lvl>
  </w:abstractNum>
  <w:abstractNum w:abstractNumId="1">
    <w:nsid w:val="05AE14AD"/>
    <w:multiLevelType w:val="hybridMultilevel"/>
    <w:tmpl w:val="D7F67C3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5131662"/>
    <w:multiLevelType w:val="multilevel"/>
    <w:tmpl w:val="E1948BBA"/>
    <w:lvl w:ilvl="0">
      <w:start w:val="1"/>
      <w:numFmt w:val="bullet"/>
      <w:lvlText w:val=""/>
      <w:lvlJc w:val="left"/>
      <w:pPr>
        <w:tabs>
          <w:tab w:val="num" w:pos="357"/>
        </w:tabs>
        <w:ind w:left="360" w:hanging="360"/>
      </w:pPr>
      <w:rPr>
        <w:rFonts w:ascii="Wingdings" w:hAnsi="Wingdings" w:hint="default"/>
        <w:color w:val="F6A800"/>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77"/>
        </w:tabs>
        <w:ind w:left="1080" w:hanging="360"/>
      </w:pPr>
      <w:rPr>
        <w:rFonts w:ascii="Wingdings" w:hAnsi="Wingdings" w:hint="default"/>
        <w:color w:val="7F7F7F"/>
      </w:rPr>
    </w:lvl>
    <w:lvl w:ilvl="3">
      <w:start w:val="1"/>
      <w:numFmt w:val="bullet"/>
      <w:lvlText w:val=""/>
      <w:lvlJc w:val="left"/>
      <w:pPr>
        <w:tabs>
          <w:tab w:val="num" w:pos="1440"/>
        </w:tabs>
        <w:ind w:left="1435" w:hanging="355"/>
      </w:pPr>
      <w:rPr>
        <w:rFonts w:ascii="Wingdings" w:hAnsi="Wingdings" w:hint="default"/>
        <w:color w:val="0096D2"/>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nsid w:val="4063629E"/>
    <w:multiLevelType w:val="hybridMultilevel"/>
    <w:tmpl w:val="03006260"/>
    <w:lvl w:ilvl="0" w:tplc="207694DC">
      <w:start w:val="1"/>
      <w:numFmt w:val="bullet"/>
      <w:lvlText w:val=""/>
      <w:lvlJc w:val="left"/>
      <w:pPr>
        <w:tabs>
          <w:tab w:val="num" w:pos="786"/>
        </w:tabs>
        <w:ind w:left="786"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971465"/>
    <w:multiLevelType w:val="hybridMultilevel"/>
    <w:tmpl w:val="4DBE0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2147091"/>
    <w:multiLevelType w:val="hybridMultilevel"/>
    <w:tmpl w:val="6E868E10"/>
    <w:lvl w:ilvl="0" w:tplc="207694DC">
      <w:start w:val="1"/>
      <w:numFmt w:val="bullet"/>
      <w:lvlText w:val=""/>
      <w:lvlJc w:val="left"/>
      <w:pPr>
        <w:tabs>
          <w:tab w:val="num" w:pos="786"/>
        </w:tabs>
        <w:ind w:left="786"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341FD2"/>
    <w:multiLevelType w:val="multilevel"/>
    <w:tmpl w:val="215295E8"/>
    <w:lvl w:ilvl="0">
      <w:start w:val="1"/>
      <w:numFmt w:val="bullet"/>
      <w:pStyle w:val="ListBullet"/>
      <w:lvlText w:val=""/>
      <w:lvlJc w:val="left"/>
      <w:pPr>
        <w:tabs>
          <w:tab w:val="num" w:pos="357"/>
        </w:tabs>
        <w:ind w:left="360" w:hanging="360"/>
      </w:pPr>
      <w:rPr>
        <w:rFonts w:ascii="Wingdings" w:hAnsi="Wingdings" w:hint="default"/>
        <w:color w:val="F6A800"/>
        <w:sz w:val="16"/>
      </w:rPr>
    </w:lvl>
    <w:lvl w:ilvl="1">
      <w:start w:val="1"/>
      <w:numFmt w:val="bullet"/>
      <w:lvlText w:val=""/>
      <w:lvlJc w:val="left"/>
      <w:pPr>
        <w:tabs>
          <w:tab w:val="num" w:pos="720"/>
        </w:tabs>
        <w:ind w:left="720" w:hanging="360"/>
      </w:pPr>
      <w:rPr>
        <w:rFonts w:ascii="Wingdings" w:hAnsi="Wingdings" w:hint="default"/>
        <w:color w:val="7F7F7F" w:themeColor="text1" w:themeTint="80"/>
        <w:sz w:val="16"/>
      </w:rPr>
    </w:lvl>
    <w:lvl w:ilvl="2">
      <w:start w:val="1"/>
      <w:numFmt w:val="bullet"/>
      <w:lvlText w:val=""/>
      <w:lvlJc w:val="left"/>
      <w:pPr>
        <w:tabs>
          <w:tab w:val="num" w:pos="1077"/>
        </w:tabs>
        <w:ind w:left="1080" w:hanging="360"/>
      </w:pPr>
      <w:rPr>
        <w:rFonts w:ascii="Wingdings" w:hAnsi="Wingdings" w:hint="default"/>
        <w:color w:val="auto"/>
        <w:sz w:val="22"/>
      </w:rPr>
    </w:lvl>
    <w:lvl w:ilvl="3">
      <w:start w:val="1"/>
      <w:numFmt w:val="bullet"/>
      <w:lvlText w:val=""/>
      <w:lvlJc w:val="left"/>
      <w:pPr>
        <w:tabs>
          <w:tab w:val="num" w:pos="1435"/>
        </w:tabs>
        <w:ind w:left="1435" w:hanging="355"/>
      </w:pPr>
      <w:rPr>
        <w:rFonts w:ascii="Wingdings" w:hAnsi="Wingdings" w:hint="default"/>
        <w:color w:val="0096D2"/>
        <w:sz w:val="16"/>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7C6D369A"/>
    <w:multiLevelType w:val="hybridMultilevel"/>
    <w:tmpl w:val="E76A50B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85"/>
    <w:rsid w:val="000037FF"/>
    <w:rsid w:val="00015EE3"/>
    <w:rsid w:val="0002591C"/>
    <w:rsid w:val="000635CF"/>
    <w:rsid w:val="000B0E5F"/>
    <w:rsid w:val="000C78F6"/>
    <w:rsid w:val="000F514A"/>
    <w:rsid w:val="000F7D1F"/>
    <w:rsid w:val="00103CF5"/>
    <w:rsid w:val="0011587A"/>
    <w:rsid w:val="00135789"/>
    <w:rsid w:val="001B2D2E"/>
    <w:rsid w:val="0023298C"/>
    <w:rsid w:val="00280B8F"/>
    <w:rsid w:val="002B7D6A"/>
    <w:rsid w:val="002C3E00"/>
    <w:rsid w:val="002C7A9B"/>
    <w:rsid w:val="00321FA3"/>
    <w:rsid w:val="0032398D"/>
    <w:rsid w:val="00331208"/>
    <w:rsid w:val="003524AF"/>
    <w:rsid w:val="003827CB"/>
    <w:rsid w:val="00385ED8"/>
    <w:rsid w:val="003C7925"/>
    <w:rsid w:val="003D426B"/>
    <w:rsid w:val="003D643F"/>
    <w:rsid w:val="003E3832"/>
    <w:rsid w:val="00420BC5"/>
    <w:rsid w:val="00423DF1"/>
    <w:rsid w:val="00440F9E"/>
    <w:rsid w:val="00490598"/>
    <w:rsid w:val="0049481E"/>
    <w:rsid w:val="004B182F"/>
    <w:rsid w:val="004B4A14"/>
    <w:rsid w:val="004D2515"/>
    <w:rsid w:val="004D3A08"/>
    <w:rsid w:val="004E1AD9"/>
    <w:rsid w:val="004E7C20"/>
    <w:rsid w:val="004F40AE"/>
    <w:rsid w:val="00504385"/>
    <w:rsid w:val="00513159"/>
    <w:rsid w:val="00554AC5"/>
    <w:rsid w:val="00556A0E"/>
    <w:rsid w:val="005A279A"/>
    <w:rsid w:val="005F43E8"/>
    <w:rsid w:val="006008B4"/>
    <w:rsid w:val="00620CF6"/>
    <w:rsid w:val="006608E8"/>
    <w:rsid w:val="00672B9A"/>
    <w:rsid w:val="006A0785"/>
    <w:rsid w:val="006B32FF"/>
    <w:rsid w:val="006C4FB1"/>
    <w:rsid w:val="006D0B60"/>
    <w:rsid w:val="006F0D13"/>
    <w:rsid w:val="006F1031"/>
    <w:rsid w:val="00716637"/>
    <w:rsid w:val="00727303"/>
    <w:rsid w:val="00757F5C"/>
    <w:rsid w:val="007A5963"/>
    <w:rsid w:val="007A5C3F"/>
    <w:rsid w:val="007E560A"/>
    <w:rsid w:val="007E5803"/>
    <w:rsid w:val="007F249E"/>
    <w:rsid w:val="00802790"/>
    <w:rsid w:val="00816CD0"/>
    <w:rsid w:val="0082090E"/>
    <w:rsid w:val="00844485"/>
    <w:rsid w:val="008B16FA"/>
    <w:rsid w:val="008E3C45"/>
    <w:rsid w:val="009179A5"/>
    <w:rsid w:val="00932AB6"/>
    <w:rsid w:val="0094270B"/>
    <w:rsid w:val="00942957"/>
    <w:rsid w:val="00947D5D"/>
    <w:rsid w:val="00971786"/>
    <w:rsid w:val="00996847"/>
    <w:rsid w:val="009A23B6"/>
    <w:rsid w:val="009A7CC5"/>
    <w:rsid w:val="009B42C5"/>
    <w:rsid w:val="009D3416"/>
    <w:rsid w:val="009E4767"/>
    <w:rsid w:val="009E5A2F"/>
    <w:rsid w:val="009E6CFE"/>
    <w:rsid w:val="00A03695"/>
    <w:rsid w:val="00A06124"/>
    <w:rsid w:val="00A115B3"/>
    <w:rsid w:val="00A14B54"/>
    <w:rsid w:val="00A14C17"/>
    <w:rsid w:val="00A97C90"/>
    <w:rsid w:val="00AE5F15"/>
    <w:rsid w:val="00B07109"/>
    <w:rsid w:val="00B128CB"/>
    <w:rsid w:val="00B17FA0"/>
    <w:rsid w:val="00B574F5"/>
    <w:rsid w:val="00B657A2"/>
    <w:rsid w:val="00B665B7"/>
    <w:rsid w:val="00B860DE"/>
    <w:rsid w:val="00BD27E1"/>
    <w:rsid w:val="00C1365E"/>
    <w:rsid w:val="00C3211C"/>
    <w:rsid w:val="00C33F3B"/>
    <w:rsid w:val="00C72807"/>
    <w:rsid w:val="00CA3DA7"/>
    <w:rsid w:val="00CA7A6E"/>
    <w:rsid w:val="00CE58C7"/>
    <w:rsid w:val="00D43652"/>
    <w:rsid w:val="00D52390"/>
    <w:rsid w:val="00DA6084"/>
    <w:rsid w:val="00DC4B96"/>
    <w:rsid w:val="00DC67F0"/>
    <w:rsid w:val="00E03776"/>
    <w:rsid w:val="00E253F1"/>
    <w:rsid w:val="00E72E5E"/>
    <w:rsid w:val="00E7738C"/>
    <w:rsid w:val="00ED344B"/>
    <w:rsid w:val="00EE08A6"/>
    <w:rsid w:val="00EF0A29"/>
    <w:rsid w:val="00F461DD"/>
    <w:rsid w:val="00F61F08"/>
    <w:rsid w:val="00F903F0"/>
    <w:rsid w:val="00F914DC"/>
    <w:rsid w:val="00F9550A"/>
    <w:rsid w:val="00FA135C"/>
    <w:rsid w:val="00FF71FA"/>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348F9D"/>
  <w15:docId w15:val="{349BCB94-164C-459C-9F25-9AFA22B4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76"/>
    <w:pPr>
      <w:spacing w:line="280" w:lineRule="atLeast"/>
    </w:pPr>
    <w:rPr>
      <w:rFonts w:ascii="Arial" w:hAnsi="Arial"/>
      <w:lang w:eastAsia="de-DE"/>
    </w:rPr>
  </w:style>
  <w:style w:type="paragraph" w:styleId="Heading1">
    <w:name w:val="heading 1"/>
    <w:basedOn w:val="Normal"/>
    <w:next w:val="Normal"/>
    <w:link w:val="Heading1Char"/>
    <w:rsid w:val="004D3A08"/>
    <w:pPr>
      <w:keepNext/>
      <w:spacing w:after="320"/>
      <w:jc w:val="both"/>
      <w:outlineLvl w:val="0"/>
    </w:pPr>
    <w:rPr>
      <w:b/>
      <w:color w:val="000000" w:themeColor="text1"/>
      <w:kern w:val="32"/>
      <w:sz w:val="32"/>
      <w:szCs w:val="32"/>
      <w:lang w:eastAsia="de-AT"/>
    </w:rPr>
  </w:style>
  <w:style w:type="paragraph" w:styleId="Heading2">
    <w:name w:val="heading 2"/>
    <w:basedOn w:val="Normal"/>
    <w:next w:val="Normal"/>
    <w:link w:val="Heading2Char"/>
    <w:locked/>
    <w:rsid w:val="00CA3DA7"/>
    <w:pPr>
      <w:keepNext/>
      <w:spacing w:after="280"/>
      <w:jc w:val="both"/>
      <w:outlineLvl w:val="1"/>
    </w:pPr>
    <w:rPr>
      <w:b/>
      <w:sz w:val="28"/>
      <w:szCs w:val="28"/>
      <w:lang w:eastAsia="de-AT"/>
    </w:rPr>
  </w:style>
  <w:style w:type="paragraph" w:styleId="Heading3">
    <w:name w:val="heading 3"/>
    <w:basedOn w:val="Normal"/>
    <w:next w:val="Normal"/>
    <w:link w:val="Heading3Char"/>
    <w:locked/>
    <w:rsid w:val="00CA3DA7"/>
    <w:pPr>
      <w:keepNext/>
      <w:spacing w:after="240"/>
      <w:jc w:val="both"/>
      <w:outlineLvl w:val="2"/>
    </w:pPr>
    <w:rPr>
      <w:b/>
      <w:sz w:val="24"/>
      <w:szCs w:val="26"/>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D3A08"/>
    <w:rPr>
      <w:rFonts w:ascii="Arial" w:hAnsi="Arial"/>
      <w:b/>
      <w:color w:val="000000" w:themeColor="text1"/>
      <w:kern w:val="32"/>
      <w:sz w:val="32"/>
      <w:szCs w:val="32"/>
      <w:lang w:eastAsia="de-AT"/>
    </w:rPr>
  </w:style>
  <w:style w:type="paragraph" w:styleId="Footer">
    <w:name w:val="footer"/>
    <w:basedOn w:val="Normal"/>
    <w:link w:val="FooterChar"/>
    <w:semiHidden/>
    <w:rsid w:val="00513159"/>
    <w:pPr>
      <w:tabs>
        <w:tab w:val="center" w:pos="4536"/>
        <w:tab w:val="right" w:pos="9072"/>
      </w:tabs>
    </w:pPr>
  </w:style>
  <w:style w:type="character" w:customStyle="1" w:styleId="FooterChar">
    <w:name w:val="Footer Char"/>
    <w:basedOn w:val="DefaultParagraphFont"/>
    <w:link w:val="Footer"/>
    <w:semiHidden/>
    <w:locked/>
    <w:rsid w:val="003827CB"/>
    <w:rPr>
      <w:rFonts w:ascii="Arial" w:hAnsi="Arial" w:cs="Times New Roman"/>
      <w:sz w:val="20"/>
      <w:szCs w:val="20"/>
      <w:lang w:val="de-DE" w:eastAsia="de-DE"/>
    </w:rPr>
  </w:style>
  <w:style w:type="table" w:styleId="TableGrid">
    <w:name w:val="Table Grid"/>
    <w:basedOn w:val="TableNormal"/>
    <w:rsid w:val="00440F9E"/>
    <w:rPr>
      <w:rFonts w:ascii="Times" w:hAnsi="Time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440F9E"/>
    <w:rPr>
      <w:rFonts w:ascii="Tahoma" w:hAnsi="Tahoma" w:cs="Tahoma"/>
      <w:sz w:val="16"/>
      <w:szCs w:val="16"/>
    </w:rPr>
  </w:style>
  <w:style w:type="character" w:customStyle="1" w:styleId="BalloonTextChar">
    <w:name w:val="Balloon Text Char"/>
    <w:basedOn w:val="DefaultParagraphFont"/>
    <w:link w:val="BalloonText"/>
    <w:semiHidden/>
    <w:locked/>
    <w:rsid w:val="003827CB"/>
    <w:rPr>
      <w:rFonts w:cs="Times New Roman"/>
      <w:sz w:val="2"/>
      <w:lang w:val="de-DE" w:eastAsia="de-DE"/>
    </w:rPr>
  </w:style>
  <w:style w:type="character" w:styleId="Hyperlink">
    <w:name w:val="Hyperlink"/>
    <w:basedOn w:val="DefaultParagraphFont"/>
    <w:rsid w:val="00440F9E"/>
    <w:rPr>
      <w:rFonts w:cs="Times New Roman"/>
      <w:color w:val="0000FF"/>
      <w:u w:val="single"/>
    </w:rPr>
  </w:style>
  <w:style w:type="character" w:styleId="PlaceholderText">
    <w:name w:val="Placeholder Text"/>
    <w:basedOn w:val="DefaultParagraphFont"/>
    <w:uiPriority w:val="99"/>
    <w:semiHidden/>
    <w:rsid w:val="006D0B60"/>
    <w:rPr>
      <w:color w:val="808080"/>
    </w:rPr>
  </w:style>
  <w:style w:type="paragraph" w:customStyle="1" w:styleId="Subject">
    <w:name w:val="Subject"/>
    <w:basedOn w:val="Heading1"/>
    <w:link w:val="SubjectChar"/>
    <w:rsid w:val="004D3A08"/>
    <w:rPr>
      <w:sz w:val="24"/>
    </w:rPr>
  </w:style>
  <w:style w:type="paragraph" w:customStyle="1" w:styleId="Style1">
    <w:name w:val="Style1"/>
    <w:basedOn w:val="Subject"/>
    <w:next w:val="Normal"/>
    <w:link w:val="Style1Char"/>
    <w:rsid w:val="00E03776"/>
  </w:style>
  <w:style w:type="paragraph" w:customStyle="1" w:styleId="Style2">
    <w:name w:val="Style2"/>
    <w:basedOn w:val="Normal"/>
    <w:next w:val="Normal"/>
    <w:link w:val="Style2Char"/>
    <w:rsid w:val="00E03776"/>
  </w:style>
  <w:style w:type="character" w:customStyle="1" w:styleId="SubjectChar">
    <w:name w:val="Subject Char"/>
    <w:basedOn w:val="Heading1Char"/>
    <w:link w:val="Subject"/>
    <w:rsid w:val="004D3A08"/>
    <w:rPr>
      <w:rFonts w:ascii="Arial" w:hAnsi="Arial"/>
      <w:b/>
      <w:color w:val="000000" w:themeColor="text1"/>
      <w:kern w:val="32"/>
      <w:sz w:val="24"/>
      <w:szCs w:val="32"/>
      <w:lang w:eastAsia="de-AT"/>
    </w:rPr>
  </w:style>
  <w:style w:type="character" w:customStyle="1" w:styleId="Style1Char">
    <w:name w:val="Style1 Char"/>
    <w:basedOn w:val="SubjectChar"/>
    <w:link w:val="Style1"/>
    <w:rsid w:val="00E03776"/>
    <w:rPr>
      <w:rFonts w:ascii="Arial" w:hAnsi="Arial" w:cs="Times New Roman"/>
      <w:b/>
      <w:bCs w:val="0"/>
      <w:color w:val="D10019"/>
      <w:kern w:val="32"/>
      <w:sz w:val="24"/>
      <w:szCs w:val="32"/>
      <w:lang w:val="en-US" w:eastAsia="en-US"/>
    </w:rPr>
  </w:style>
  <w:style w:type="character" w:customStyle="1" w:styleId="Style2Char">
    <w:name w:val="Style2 Char"/>
    <w:basedOn w:val="DefaultParagraphFont"/>
    <w:link w:val="Style2"/>
    <w:rsid w:val="00E03776"/>
    <w:rPr>
      <w:rFonts w:ascii="Arial" w:hAnsi="Arial"/>
      <w:lang w:val="en-US" w:eastAsia="de-DE"/>
    </w:rPr>
  </w:style>
  <w:style w:type="paragraph" w:styleId="Header">
    <w:name w:val="header"/>
    <w:basedOn w:val="Normal"/>
    <w:link w:val="HeaderChar"/>
    <w:unhideWhenUsed/>
    <w:rsid w:val="004B4A14"/>
    <w:pPr>
      <w:tabs>
        <w:tab w:val="center" w:pos="4536"/>
        <w:tab w:val="right" w:pos="9072"/>
      </w:tabs>
      <w:spacing w:line="240" w:lineRule="auto"/>
    </w:pPr>
  </w:style>
  <w:style w:type="character" w:customStyle="1" w:styleId="HeaderChar">
    <w:name w:val="Header Char"/>
    <w:basedOn w:val="DefaultParagraphFont"/>
    <w:link w:val="Header"/>
    <w:rsid w:val="004B4A14"/>
    <w:rPr>
      <w:rFonts w:ascii="Arial" w:hAnsi="Arial"/>
      <w:lang w:val="en-US" w:eastAsia="de-DE"/>
    </w:rPr>
  </w:style>
  <w:style w:type="table" w:customStyle="1" w:styleId="Borza1">
    <w:name w:val="Borza 1"/>
    <w:basedOn w:val="TableNormal"/>
    <w:uiPriority w:val="99"/>
    <w:rsid w:val="00CA3DA7"/>
    <w:pPr>
      <w:spacing w:before="80" w:after="80"/>
      <w:jc w:val="center"/>
    </w:pPr>
    <w:rPr>
      <w:rFonts w:ascii="Arial" w:eastAsiaTheme="minorEastAsia" w:hAnsi="Arial" w:cstheme="minorBidi"/>
      <w:color w:val="000000" w:themeColor="text1"/>
      <w:szCs w:val="22"/>
      <w:lang w:eastAsia="en-US"/>
    </w:rPr>
    <w:tblPr>
      <w:tblStyleRowBandSize w:val="1"/>
      <w:tblStyleColBandSize w:val="1"/>
      <w:tblInd w:w="0" w:type="dxa"/>
      <w:tblCellMar>
        <w:top w:w="0" w:type="dxa"/>
        <w:left w:w="108" w:type="dxa"/>
        <w:bottom w:w="0" w:type="dxa"/>
        <w:right w:w="108" w:type="dxa"/>
      </w:tblCellMar>
    </w:tblPr>
    <w:tcPr>
      <w:shd w:val="clear" w:color="auto" w:fill="FFFFFF" w:themeFill="background1"/>
    </w:tcPr>
    <w:tblStylePr w:type="firstRow">
      <w:pPr>
        <w:jc w:val="center"/>
      </w:pPr>
      <w:rPr>
        <w:rFonts w:ascii="Arial" w:hAnsi="Arial"/>
        <w:color w:val="000000" w:themeColor="text1"/>
        <w:sz w:val="20"/>
        <w:u w:val="none"/>
      </w:rPr>
      <w:tblPr/>
      <w:tcPr>
        <w:shd w:val="clear" w:color="auto" w:fill="FF9614"/>
      </w:tcPr>
    </w:tblStylePr>
    <w:tblStylePr w:type="lastRow">
      <w:rPr>
        <w:rFonts w:ascii="Arial" w:hAnsi="Arial"/>
        <w:b/>
        <w:color w:val="FFFFFF" w:themeColor="background1"/>
      </w:rPr>
      <w:tblPr/>
      <w:tcPr>
        <w:shd w:val="clear" w:color="auto" w:fill="585858"/>
      </w:tcPr>
    </w:tblStylePr>
    <w:tblStylePr w:type="firstCol">
      <w:pPr>
        <w:jc w:val="right"/>
      </w:pPr>
      <w:rPr>
        <w:rFonts w:ascii="Arial" w:hAnsi="Arial"/>
        <w:color w:val="000000" w:themeColor="text1"/>
        <w:sz w:val="20"/>
      </w:rPr>
      <w:tblPr/>
      <w:tcPr>
        <w:tcBorders>
          <w:top w:val="nil"/>
          <w:left w:val="nil"/>
          <w:bottom w:val="nil"/>
          <w:right w:val="nil"/>
          <w:insideH w:val="nil"/>
          <w:insideV w:val="nil"/>
          <w:tl2br w:val="nil"/>
          <w:tr2bl w:val="nil"/>
        </w:tcBorders>
        <w:shd w:val="clear" w:color="auto" w:fill="FF9614"/>
      </w:tcPr>
    </w:tblStylePr>
    <w:tblStylePr w:type="lastCol">
      <w:rPr>
        <w:rFonts w:ascii="Arial" w:hAnsi="Arial"/>
        <w:b/>
        <w:color w:val="FFFFFF" w:themeColor="background1"/>
        <w:sz w:val="20"/>
      </w:rPr>
      <w:tblPr/>
      <w:tcPr>
        <w:shd w:val="clear" w:color="auto" w:fill="585858"/>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tblPr/>
      <w:tcPr>
        <w:shd w:val="clear" w:color="auto" w:fill="FFFFFF" w:themeFill="background1"/>
      </w:tcPr>
    </w:tblStylePr>
  </w:style>
  <w:style w:type="table" w:customStyle="1" w:styleId="Borza1Obratno">
    <w:name w:val="Borza 1 Obratno"/>
    <w:basedOn w:val="Borza1"/>
    <w:uiPriority w:val="99"/>
    <w:rsid w:val="00CA3DA7"/>
    <w:pPr>
      <w:spacing w:after="0"/>
    </w:pPr>
    <w:tblPr>
      <w:tblStyleRowBandSize w:val="1"/>
      <w:tblStyleColBandSize w:val="1"/>
      <w:tblInd w:w="0" w:type="dxa"/>
      <w:tblCellMar>
        <w:top w:w="0" w:type="dxa"/>
        <w:left w:w="108" w:type="dxa"/>
        <w:bottom w:w="0" w:type="dxa"/>
        <w:right w:w="108" w:type="dxa"/>
      </w:tblCellMar>
    </w:tblPr>
    <w:tcPr>
      <w:shd w:val="clear" w:color="auto" w:fill="FFFFFF" w:themeFill="background1"/>
    </w:tcPr>
    <w:tblStylePr w:type="firstRow">
      <w:pPr>
        <w:jc w:val="center"/>
      </w:pPr>
      <w:rPr>
        <w:rFonts w:ascii="Arial" w:hAnsi="Arial"/>
        <w:color w:val="FFFFFF" w:themeColor="background1"/>
        <w:sz w:val="20"/>
        <w:u w:val="none"/>
      </w:rPr>
      <w:tblPr/>
      <w:tcPr>
        <w:shd w:val="clear" w:color="auto" w:fill="585858"/>
      </w:tcPr>
    </w:tblStylePr>
    <w:tblStylePr w:type="lastRow">
      <w:rPr>
        <w:rFonts w:ascii="Arial" w:hAnsi="Arial"/>
        <w:b/>
        <w:color w:val="000000" w:themeColor="text1"/>
      </w:rPr>
      <w:tblPr/>
      <w:tcPr>
        <w:shd w:val="clear" w:color="auto" w:fill="FF9614"/>
      </w:tcPr>
    </w:tblStylePr>
    <w:tblStylePr w:type="firstCol">
      <w:pPr>
        <w:jc w:val="right"/>
      </w:pPr>
      <w:rPr>
        <w:rFonts w:ascii="Arial" w:hAnsi="Arial"/>
        <w:color w:val="FFFFFF" w:themeColor="background1"/>
        <w:sz w:val="20"/>
      </w:rPr>
      <w:tblPr/>
      <w:tcPr>
        <w:tcBorders>
          <w:top w:val="nil"/>
          <w:left w:val="nil"/>
          <w:bottom w:val="nil"/>
          <w:right w:val="nil"/>
          <w:insideH w:val="nil"/>
          <w:insideV w:val="nil"/>
          <w:tl2br w:val="nil"/>
          <w:tr2bl w:val="nil"/>
        </w:tcBorders>
        <w:shd w:val="clear" w:color="auto" w:fill="585858"/>
      </w:tcPr>
    </w:tblStylePr>
    <w:tblStylePr w:type="lastCol">
      <w:rPr>
        <w:rFonts w:ascii="Arial" w:hAnsi="Arial"/>
        <w:b/>
        <w:color w:val="000000" w:themeColor="text1"/>
        <w:sz w:val="20"/>
      </w:rPr>
      <w:tblPr/>
      <w:tcPr>
        <w:shd w:val="clear" w:color="auto" w:fill="FF9614"/>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tblPr/>
      <w:tcPr>
        <w:shd w:val="clear" w:color="auto" w:fill="FFFFFF" w:themeFill="background1"/>
      </w:tcPr>
    </w:tblStylePr>
  </w:style>
  <w:style w:type="table" w:customStyle="1" w:styleId="Borza1Robovi">
    <w:name w:val="Borza 1 Robovi"/>
    <w:basedOn w:val="Borza1"/>
    <w:uiPriority w:val="99"/>
    <w:rsid w:val="00CA3DA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color w:val="000000" w:themeColor="text1"/>
        <w:sz w:val="20"/>
        <w:u w:val="none"/>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9614"/>
      </w:tcPr>
    </w:tblStylePr>
    <w:tblStylePr w:type="lastRow">
      <w:rPr>
        <w:rFonts w:ascii="Arial" w:hAnsi="Arial"/>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85858"/>
      </w:tcPr>
    </w:tblStylePr>
    <w:tblStylePr w:type="firstCol">
      <w:pPr>
        <w:jc w:val="right"/>
      </w:pPr>
      <w:rPr>
        <w:rFonts w:ascii="Arial" w:hAnsi="Arial"/>
        <w:color w:val="000000" w:themeColor="tex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9614"/>
      </w:tcPr>
    </w:tblStylePr>
    <w:tblStylePr w:type="lastCol">
      <w:rPr>
        <w:rFonts w:ascii="Arial" w:hAnsi="Arial"/>
        <w:b/>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85858"/>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tblStylePr w:type="nwCell">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Borza1RoboviObratno">
    <w:name w:val="Borza 1 Robovi Obratno"/>
    <w:basedOn w:val="Borza1Robovi"/>
    <w:uiPriority w:val="99"/>
    <w:rsid w:val="00CA3DA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color w:val="FFFFFF" w:themeColor="background1"/>
        <w:sz w:val="20"/>
        <w:u w:val="none"/>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85858"/>
      </w:tcPr>
    </w:tblStylePr>
    <w:tblStylePr w:type="lastRow">
      <w:rPr>
        <w:rFonts w:ascii="Arial" w:hAnsi="Arial"/>
        <w:b/>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9614"/>
      </w:tcPr>
    </w:tblStylePr>
    <w:tblStylePr w:type="firstCol">
      <w:pPr>
        <w:jc w:val="right"/>
      </w:pPr>
      <w:rPr>
        <w:rFonts w:ascii="Arial" w:hAnsi="Arial"/>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585858"/>
      </w:tcPr>
    </w:tblStylePr>
    <w:tblStylePr w:type="lastCol">
      <w:rPr>
        <w:rFonts w:ascii="Arial" w:hAnsi="Arial"/>
        <w:b/>
        <w:color w:val="000000" w:themeColor="tex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9614"/>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tblStylePr w:type="nwCell">
      <w:tblPr/>
      <w:tcPr>
        <w:tcBorders>
          <w:top w:val="nil"/>
          <w:left w:val="nil"/>
          <w:bottom w:val="nil"/>
          <w:right w:val="nil"/>
          <w:insideH w:val="nil"/>
          <w:insideV w:val="nil"/>
          <w:tl2br w:val="nil"/>
          <w:tr2bl w:val="nil"/>
        </w:tcBorders>
        <w:shd w:val="clear" w:color="auto" w:fill="FFFFFF" w:themeFill="background1"/>
      </w:tcPr>
    </w:tblStylePr>
  </w:style>
  <w:style w:type="table" w:customStyle="1" w:styleId="Borzarna">
    <w:name w:val="Borza Črna"/>
    <w:basedOn w:val="Borza1"/>
    <w:uiPriority w:val="99"/>
    <w:rsid w:val="00CA3DA7"/>
    <w:tblPr>
      <w:tblStyleRowBandSize w:val="1"/>
      <w:tblStyleColBandSize w:val="1"/>
      <w:tblInd w:w="0" w:type="dxa"/>
      <w:tblCellMar>
        <w:top w:w="0" w:type="dxa"/>
        <w:left w:w="108" w:type="dxa"/>
        <w:bottom w:w="0" w:type="dxa"/>
        <w:right w:w="108" w:type="dxa"/>
      </w:tblCellMar>
    </w:tblPr>
    <w:tcPr>
      <w:shd w:val="clear" w:color="auto" w:fill="FFFFFF" w:themeFill="background1"/>
    </w:tcPr>
    <w:tblStylePr w:type="firstRow">
      <w:pPr>
        <w:jc w:val="center"/>
      </w:pPr>
      <w:rPr>
        <w:rFonts w:ascii="Arial" w:hAnsi="Arial"/>
        <w:color w:val="000000" w:themeColor="text1"/>
        <w:sz w:val="20"/>
        <w:u w:val="none"/>
      </w:rPr>
      <w:tblPr/>
      <w:tcPr>
        <w:shd w:val="clear" w:color="auto" w:fill="FF9614"/>
      </w:tcPr>
    </w:tblStylePr>
    <w:tblStylePr w:type="lastRow">
      <w:rPr>
        <w:rFonts w:ascii="Arial" w:hAnsi="Arial"/>
        <w:b/>
        <w:color w:val="FFFFFF" w:themeColor="background1"/>
      </w:rPr>
      <w:tblPr/>
      <w:tcPr>
        <w:shd w:val="clear" w:color="auto" w:fill="000000" w:themeFill="text1"/>
      </w:tcPr>
    </w:tblStylePr>
    <w:tblStylePr w:type="firstCol">
      <w:pPr>
        <w:jc w:val="right"/>
      </w:pPr>
      <w:rPr>
        <w:rFonts w:ascii="Arial" w:hAnsi="Arial"/>
        <w:color w:val="000000" w:themeColor="text1"/>
        <w:sz w:val="20"/>
      </w:rPr>
      <w:tblPr/>
      <w:tcPr>
        <w:tcBorders>
          <w:top w:val="nil"/>
          <w:left w:val="nil"/>
          <w:bottom w:val="nil"/>
          <w:right w:val="nil"/>
          <w:insideH w:val="nil"/>
          <w:insideV w:val="nil"/>
          <w:tl2br w:val="nil"/>
          <w:tr2bl w:val="nil"/>
        </w:tcBorders>
        <w:shd w:val="clear" w:color="auto" w:fill="FF9614"/>
      </w:tcPr>
    </w:tblStylePr>
    <w:tblStylePr w:type="lastCol">
      <w:rPr>
        <w:rFonts w:ascii="Arial" w:hAnsi="Arial"/>
        <w:b/>
        <w:color w:val="FFFFFF" w:themeColor="background1"/>
        <w:sz w:val="20"/>
      </w:rPr>
      <w:tblPr/>
      <w:tcPr>
        <w:shd w:val="clear" w:color="auto" w:fill="000000" w:themeFill="text1"/>
      </w:tcPr>
    </w:tblStylePr>
    <w:tblStylePr w:type="band1Vert">
      <w:tblPr/>
      <w:tcPr>
        <w:shd w:val="clear" w:color="auto" w:fill="D9D9D9"/>
      </w:tcPr>
    </w:tblStylePr>
    <w:tblStylePr w:type="band2Vert">
      <w:tblPr/>
      <w:tcPr>
        <w:shd w:val="clear" w:color="auto" w:fill="C7C7C7"/>
      </w:tcPr>
    </w:tblStylePr>
    <w:tblStylePr w:type="band1Horz">
      <w:tblPr/>
      <w:tcPr>
        <w:shd w:val="clear" w:color="auto" w:fill="D9D9D9"/>
      </w:tcPr>
    </w:tblStylePr>
    <w:tblStylePr w:type="band2Horz">
      <w:tblPr/>
      <w:tcPr>
        <w:shd w:val="clear" w:color="auto" w:fill="C7C7C7"/>
      </w:tcPr>
    </w:tblStylePr>
    <w:tblStylePr w:type="nwCell">
      <w:tblPr/>
      <w:tcPr>
        <w:shd w:val="clear" w:color="auto" w:fill="FFFFFF" w:themeFill="background1"/>
      </w:tcPr>
    </w:tblStylePr>
  </w:style>
  <w:style w:type="table" w:customStyle="1" w:styleId="BorzarnaRobovi">
    <w:name w:val="Borza Črna Robovi"/>
    <w:basedOn w:val="Borzarna"/>
    <w:uiPriority w:val="99"/>
    <w:rsid w:val="00CA3DA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color w:val="000000" w:themeColor="text1"/>
        <w:sz w:val="20"/>
        <w:u w:val="none"/>
      </w:rPr>
      <w:tblPr/>
      <w:tcPr>
        <w:shd w:val="clear" w:color="auto" w:fill="FF9614"/>
      </w:tcPr>
    </w:tblStylePr>
    <w:tblStylePr w:type="lastRow">
      <w:rPr>
        <w:rFonts w:ascii="Arial" w:hAnsi="Arial"/>
        <w:b/>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0000" w:themeFill="text1"/>
      </w:tcPr>
    </w:tblStylePr>
    <w:tblStylePr w:type="firstCol">
      <w:pPr>
        <w:jc w:val="right"/>
      </w:pPr>
      <w:rPr>
        <w:rFonts w:ascii="Arial" w:hAnsi="Arial"/>
        <w:color w:val="000000" w:themeColor="tex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9614"/>
      </w:tcPr>
    </w:tblStylePr>
    <w:tblStylePr w:type="lastCol">
      <w:rPr>
        <w:rFonts w:ascii="Arial" w:hAnsi="Arial"/>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0000" w:themeFill="text1"/>
      </w:tcPr>
    </w:tblStylePr>
    <w:tblStylePr w:type="band1Vert">
      <w:tblPr/>
      <w:tcPr>
        <w:shd w:val="clear" w:color="auto" w:fill="D9D9D9"/>
      </w:tcPr>
    </w:tblStylePr>
    <w:tblStylePr w:type="band2Vert">
      <w:tblPr/>
      <w:tcPr>
        <w:shd w:val="clear" w:color="auto" w:fill="C7C7C7"/>
      </w:tcPr>
    </w:tblStylePr>
    <w:tblStylePr w:type="band1Horz">
      <w:tblPr/>
      <w:tcPr>
        <w:shd w:val="clear" w:color="auto" w:fill="D9D9D9"/>
      </w:tcPr>
    </w:tblStylePr>
    <w:tblStylePr w:type="band2Horz">
      <w:tblPr/>
      <w:tcPr>
        <w:shd w:val="clear" w:color="auto" w:fill="C7C7C7"/>
      </w:tcPr>
    </w:tblStylePr>
    <w:tblStylePr w:type="neCell">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614"/>
      </w:tcPr>
    </w:tblStylePr>
    <w:tblStylePr w:type="nwCell">
      <w:tblPr/>
      <w:tcPr>
        <w:tcBorders>
          <w:top w:val="nil"/>
          <w:left w:val="nil"/>
          <w:bottom w:val="nil"/>
          <w:right w:val="nil"/>
          <w:insideH w:val="nil"/>
          <w:insideV w:val="nil"/>
          <w:tl2br w:val="nil"/>
          <w:tr2bl w:val="nil"/>
        </w:tcBorders>
        <w:shd w:val="clear" w:color="auto" w:fill="FFFFFF" w:themeFill="background1"/>
      </w:tcPr>
    </w:tblStylePr>
    <w:tblStylePr w:type="swCell">
      <w:tblPr/>
      <w:tcPr>
        <w:tcBorders>
          <w:top w:val="nil"/>
          <w:left w:val="single" w:sz="4" w:space="0" w:color="000000" w:themeColor="text1"/>
          <w:bottom w:val="nil"/>
          <w:right w:val="nil"/>
          <w:insideH w:val="nil"/>
          <w:insideV w:val="nil"/>
          <w:tl2br w:val="nil"/>
          <w:tr2bl w:val="nil"/>
        </w:tcBorders>
        <w:shd w:val="clear" w:color="auto" w:fill="000000" w:themeFill="text1"/>
      </w:tcPr>
    </w:tblStylePr>
  </w:style>
  <w:style w:type="table" w:customStyle="1" w:styleId="BorzaOranenSum">
    <w:name w:val="Borza Oranžen Sum"/>
    <w:basedOn w:val="TableNormal"/>
    <w:uiPriority w:val="99"/>
    <w:rsid w:val="00CA3DA7"/>
    <w:pPr>
      <w:spacing w:before="80" w:after="80"/>
      <w:jc w:val="center"/>
    </w:pPr>
    <w:rPr>
      <w:rFonts w:ascii="Arial" w:eastAsiaTheme="minorHAnsi" w:hAnsi="Arial" w:cstheme="minorBidi"/>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vAlign w:val="center"/>
    </w:tcPr>
    <w:tblStylePr w:type="firstRow">
      <w:rPr>
        <w:color w:val="FFFFFF" w:themeColor="background1"/>
      </w:rPr>
      <w:tblPr/>
      <w:tcPr>
        <w:shd w:val="clear" w:color="auto" w:fill="585858"/>
      </w:tcPr>
    </w:tblStylePr>
    <w:tblStylePr w:type="lastRow">
      <w:tblPr/>
      <w:tcPr>
        <w:tcBorders>
          <w:top w:val="nil"/>
          <w:left w:val="nil"/>
          <w:bottom w:val="single" w:sz="4" w:space="0" w:color="000000" w:themeColor="text1"/>
          <w:right w:val="nil"/>
          <w:insideH w:val="nil"/>
          <w:insideV w:val="nil"/>
          <w:tl2br w:val="nil"/>
          <w:tr2bl w:val="nil"/>
        </w:tcBorders>
        <w:shd w:val="clear" w:color="auto" w:fill="FF9614"/>
      </w:tcPr>
    </w:tblStylePr>
    <w:tblStylePr w:type="firstCol">
      <w:pPr>
        <w:jc w:val="right"/>
      </w:pPr>
      <w:rPr>
        <w:color w:val="FFFFFF" w:themeColor="background1"/>
      </w:rPr>
      <w:tblPr/>
      <w:tcPr>
        <w:shd w:val="clear" w:color="auto" w:fill="585858"/>
        <w:vAlign w:val="top"/>
      </w:tcPr>
    </w:tblStylePr>
    <w:tblStylePr w:type="lastCol">
      <w:tblPr/>
      <w:tcPr>
        <w:shd w:val="clear" w:color="auto" w:fill="DDF5FF"/>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tblPr/>
      <w:tcPr>
        <w:tcBorders>
          <w:top w:val="nil"/>
          <w:left w:val="nil"/>
          <w:bottom w:val="nil"/>
          <w:right w:val="nil"/>
          <w:insideH w:val="nil"/>
          <w:insideV w:val="nil"/>
          <w:tl2br w:val="nil"/>
          <w:tr2bl w:val="nil"/>
        </w:tcBorders>
        <w:shd w:val="clear" w:color="auto" w:fill="FFFFFF" w:themeFill="background1"/>
      </w:tcPr>
    </w:tblStylePr>
    <w:tblStylePr w:type="swCell">
      <w:rPr>
        <w:color w:val="000000" w:themeColor="text1"/>
      </w:rPr>
    </w:tblStylePr>
  </w:style>
  <w:style w:type="table" w:customStyle="1" w:styleId="BorzaOranenSumRobovi">
    <w:name w:val="Borza Oranžen Sum Robovi"/>
    <w:basedOn w:val="BorzaOranenSum"/>
    <w:uiPriority w:val="99"/>
    <w:rsid w:val="00CA3DA7"/>
    <w:tblPr>
      <w:tblStyleRowBandSize w:val="1"/>
      <w:tblStyleColBandSize w:val="1"/>
      <w:tblInd w:w="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top w:w="0" w:type="dxa"/>
        <w:left w:w="108" w:type="dxa"/>
        <w:bottom w:w="0" w:type="dxa"/>
        <w:right w:w="108" w:type="dxa"/>
      </w:tblCellMar>
    </w:tblPr>
    <w:tcPr>
      <w:shd w:val="clear" w:color="auto" w:fill="auto"/>
      <w:vAlign w:val="center"/>
    </w:tcPr>
    <w:tblStylePr w:type="firstRow">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85858"/>
      </w:tcPr>
    </w:tblStylePr>
    <w:tblStylePr w:type="lastRow">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FF9614"/>
      </w:tcPr>
    </w:tblStylePr>
    <w:tblStylePr w:type="firstCol">
      <w:pPr>
        <w:jc w:val="right"/>
      </w:pPr>
      <w:rPr>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85858"/>
        <w:vAlign w:val="top"/>
      </w:tcPr>
    </w:tblStylePr>
    <w:tblStylePr w:type="lastCol">
      <w:tblPr/>
      <w:tcPr>
        <w:shd w:val="clear" w:color="auto" w:fill="DDF5FF"/>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tblPr/>
      <w:tcPr>
        <w:tcBorders>
          <w:top w:val="nil"/>
          <w:left w:val="nil"/>
          <w:bottom w:val="nil"/>
          <w:right w:val="nil"/>
          <w:insideH w:val="nil"/>
          <w:insideV w:val="nil"/>
          <w:tl2br w:val="nil"/>
          <w:tr2bl w:val="nil"/>
        </w:tcBorders>
        <w:shd w:val="clear" w:color="auto" w:fill="FFFFFF" w:themeFill="background1"/>
      </w:tcPr>
    </w:tblStylePr>
    <w:tblStylePr w:type="swCell">
      <w:rPr>
        <w:color w:val="000000" w:themeColor="text1"/>
      </w:rPr>
    </w:tblStylePr>
  </w:style>
  <w:style w:type="character" w:customStyle="1" w:styleId="Heading2Char">
    <w:name w:val="Heading 2 Char"/>
    <w:basedOn w:val="DefaultParagraphFont"/>
    <w:link w:val="Heading2"/>
    <w:rsid w:val="00CA3DA7"/>
    <w:rPr>
      <w:rFonts w:ascii="Arial" w:hAnsi="Arial"/>
      <w:b/>
      <w:sz w:val="28"/>
      <w:szCs w:val="28"/>
      <w:lang w:eastAsia="de-AT"/>
    </w:rPr>
  </w:style>
  <w:style w:type="character" w:customStyle="1" w:styleId="Heading3Char">
    <w:name w:val="Heading 3 Char"/>
    <w:basedOn w:val="DefaultParagraphFont"/>
    <w:link w:val="Heading3"/>
    <w:rsid w:val="00CA3DA7"/>
    <w:rPr>
      <w:rFonts w:ascii="Arial" w:hAnsi="Arial"/>
      <w:b/>
      <w:sz w:val="24"/>
      <w:szCs w:val="26"/>
      <w:lang w:eastAsia="de-AT"/>
    </w:rPr>
  </w:style>
  <w:style w:type="paragraph" w:customStyle="1" w:styleId="Headline1">
    <w:name w:val="Headline 1"/>
    <w:basedOn w:val="Normal"/>
    <w:qFormat/>
    <w:rsid w:val="000037FF"/>
    <w:pPr>
      <w:spacing w:after="200" w:line="300" w:lineRule="auto"/>
      <w:contextualSpacing/>
    </w:pPr>
    <w:rPr>
      <w:rFonts w:asciiTheme="minorHAnsi" w:hAnsiTheme="minorHAnsi" w:cs="Arial"/>
      <w:b/>
      <w:color w:val="FF9614"/>
      <w:sz w:val="28"/>
      <w:szCs w:val="28"/>
      <w:lang w:eastAsia="de-AT"/>
    </w:rPr>
  </w:style>
  <w:style w:type="paragraph" w:customStyle="1" w:styleId="Headline1naslovnica">
    <w:name w:val="Headline 1 (naslovnica)"/>
    <w:basedOn w:val="Normal"/>
    <w:link w:val="Headline1naslovnicaChar"/>
    <w:qFormat/>
    <w:rsid w:val="000037FF"/>
    <w:pPr>
      <w:spacing w:after="200"/>
      <w:contextualSpacing/>
    </w:pPr>
    <w:rPr>
      <w:rFonts w:asciiTheme="minorHAnsi" w:hAnsiTheme="minorHAnsi"/>
      <w:b/>
      <w:sz w:val="40"/>
      <w:szCs w:val="24"/>
      <w:lang w:eastAsia="de-AT"/>
    </w:rPr>
  </w:style>
  <w:style w:type="paragraph" w:customStyle="1" w:styleId="Headline2">
    <w:name w:val="Headline 2"/>
    <w:basedOn w:val="Normal"/>
    <w:qFormat/>
    <w:rsid w:val="000037FF"/>
    <w:pPr>
      <w:spacing w:after="200"/>
      <w:contextualSpacing/>
    </w:pPr>
    <w:rPr>
      <w:rFonts w:asciiTheme="minorHAnsi" w:hAnsiTheme="minorHAnsi"/>
      <w:b/>
      <w:bCs/>
      <w:sz w:val="24"/>
      <w:lang w:eastAsia="de-AT"/>
    </w:rPr>
  </w:style>
  <w:style w:type="paragraph" w:customStyle="1" w:styleId="Headline2naslovnica">
    <w:name w:val="Headline 2 (naslovnica)"/>
    <w:basedOn w:val="Normal"/>
    <w:link w:val="Headline2naslovnicaChar"/>
    <w:rsid w:val="000037FF"/>
    <w:pPr>
      <w:jc w:val="both"/>
    </w:pPr>
    <w:rPr>
      <w:rFonts w:asciiTheme="minorHAnsi" w:hAnsiTheme="minorHAnsi"/>
      <w:sz w:val="36"/>
      <w:szCs w:val="24"/>
      <w:lang w:eastAsia="de-AT"/>
    </w:rPr>
  </w:style>
  <w:style w:type="paragraph" w:customStyle="1" w:styleId="Headline3">
    <w:name w:val="Headline 3"/>
    <w:basedOn w:val="Normal"/>
    <w:qFormat/>
    <w:rsid w:val="000037FF"/>
    <w:pPr>
      <w:spacing w:after="200"/>
      <w:contextualSpacing/>
    </w:pPr>
    <w:rPr>
      <w:rFonts w:asciiTheme="minorHAnsi" w:hAnsiTheme="minorHAnsi"/>
      <w:b/>
      <w:bCs/>
      <w:lang w:eastAsia="de-AT"/>
    </w:rPr>
  </w:style>
  <w:style w:type="paragraph" w:customStyle="1" w:styleId="Headline4">
    <w:name w:val="Headline 4"/>
    <w:basedOn w:val="Normal"/>
    <w:qFormat/>
    <w:rsid w:val="000037FF"/>
    <w:pPr>
      <w:spacing w:after="200"/>
      <w:contextualSpacing/>
    </w:pPr>
    <w:rPr>
      <w:rFonts w:asciiTheme="minorHAnsi" w:hAnsiTheme="minorHAnsi"/>
      <w:b/>
      <w:bCs/>
      <w:i/>
      <w:iCs/>
      <w:lang w:eastAsia="de-AT"/>
    </w:rPr>
  </w:style>
  <w:style w:type="paragraph" w:styleId="ListBullet">
    <w:name w:val="List Bullet"/>
    <w:aliases w:val="Bullets"/>
    <w:basedOn w:val="Normal"/>
    <w:unhideWhenUsed/>
    <w:qFormat/>
    <w:rsid w:val="00A06124"/>
    <w:pPr>
      <w:numPr>
        <w:numId w:val="8"/>
      </w:numPr>
      <w:contextualSpacing/>
    </w:pPr>
    <w:rPr>
      <w:rFonts w:asciiTheme="minorHAnsi" w:eastAsiaTheme="minorHAnsi" w:hAnsiTheme="minorHAnsi" w:cstheme="minorBidi"/>
      <w:lang w:eastAsia="en-US"/>
    </w:rPr>
  </w:style>
  <w:style w:type="paragraph" w:customStyle="1" w:styleId="Referenca">
    <w:name w:val="Referenca"/>
    <w:basedOn w:val="Normal"/>
    <w:qFormat/>
    <w:rsid w:val="00CA3DA7"/>
    <w:pPr>
      <w:spacing w:after="120"/>
    </w:pPr>
    <w:rPr>
      <w:sz w:val="18"/>
      <w:lang w:eastAsia="de-AT"/>
    </w:rPr>
  </w:style>
  <w:style w:type="character" w:customStyle="1" w:styleId="StylePlaceholderText12ptKernat16pt">
    <w:name w:val="Style Placeholder Text + 12 pt Kern at 16 pt"/>
    <w:basedOn w:val="PlaceholderText"/>
    <w:rsid w:val="00FA135C"/>
    <w:rPr>
      <w:rFonts w:ascii="Arial" w:hAnsi="Arial"/>
      <w:b/>
      <w:color w:val="808080"/>
      <w:kern w:val="32"/>
      <w:sz w:val="24"/>
    </w:rPr>
  </w:style>
  <w:style w:type="character" w:customStyle="1" w:styleId="Headline1naslovnicaChar">
    <w:name w:val="Headline 1 (naslovnica) Char"/>
    <w:basedOn w:val="DefaultParagraphFont"/>
    <w:link w:val="Headline1naslovnica"/>
    <w:rsid w:val="000037FF"/>
    <w:rPr>
      <w:rFonts w:asciiTheme="minorHAnsi" w:hAnsiTheme="minorHAnsi"/>
      <w:b/>
      <w:sz w:val="40"/>
      <w:szCs w:val="24"/>
      <w:lang w:eastAsia="de-AT"/>
    </w:rPr>
  </w:style>
  <w:style w:type="paragraph" w:customStyle="1" w:styleId="Headline1rn">
    <w:name w:val="Headline 1 Črn"/>
    <w:basedOn w:val="Headline1"/>
    <w:qFormat/>
    <w:rsid w:val="000037FF"/>
    <w:rPr>
      <w:color w:val="000000" w:themeColor="text1"/>
    </w:rPr>
  </w:style>
  <w:style w:type="character" w:customStyle="1" w:styleId="Headline2naslovnicaChar">
    <w:name w:val="Headline 2 (naslovnica) Char"/>
    <w:basedOn w:val="DefaultParagraphFont"/>
    <w:link w:val="Headline2naslovnica"/>
    <w:rsid w:val="000037FF"/>
    <w:rPr>
      <w:rFonts w:asciiTheme="minorHAnsi" w:hAnsiTheme="minorHAnsi"/>
      <w:sz w:val="36"/>
      <w:szCs w:val="24"/>
      <w:lang w:eastAsia="de-AT"/>
    </w:rPr>
  </w:style>
  <w:style w:type="paragraph" w:customStyle="1" w:styleId="Default">
    <w:name w:val="Default"/>
    <w:rsid w:val="006F1031"/>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se.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a.kuhtic@zse.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jse.s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tka.sipek@ljse.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Borza">
  <a:themeElements>
    <a:clrScheme name="Borza">
      <a:dk1>
        <a:sysClr val="windowText" lastClr="000000"/>
      </a:dk1>
      <a:lt1>
        <a:srgbClr val="FFFFFF"/>
      </a:lt1>
      <a:dk2>
        <a:srgbClr val="585858"/>
      </a:dk2>
      <a:lt2>
        <a:srgbClr val="D9D9D9"/>
      </a:lt2>
      <a:accent1>
        <a:srgbClr val="AAAAAA"/>
      </a:accent1>
      <a:accent2>
        <a:srgbClr val="0096D2"/>
      </a:accent2>
      <a:accent3>
        <a:srgbClr val="17016E"/>
      </a:accent3>
      <a:accent4>
        <a:srgbClr val="F6A800"/>
      </a:accent4>
      <a:accent5>
        <a:srgbClr val="36802B"/>
      </a:accent5>
      <a:accent6>
        <a:srgbClr val="FF9614"/>
      </a:accent6>
      <a:hlink>
        <a:srgbClr val="0563C1"/>
      </a:hlink>
      <a:folHlink>
        <a:srgbClr val="954F72"/>
      </a:folHlink>
    </a:clrScheme>
    <a:fontScheme name="Borz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154C7B440E5428FAC6A451404B155" ma:contentTypeVersion="0" ma:contentTypeDescription="Create a new document." ma:contentTypeScope="" ma:versionID="ea8385f6ae71b0359f5f4bf2e9a789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0C03C-C4AF-4450-8799-47AAB7DBCE50}"/>
</file>

<file path=customXml/itemProps2.xml><?xml version="1.0" encoding="utf-8"?>
<ds:datastoreItem xmlns:ds="http://schemas.openxmlformats.org/officeDocument/2006/customXml" ds:itemID="{3AD0C771-A518-477A-B915-24AB01332374}"/>
</file>

<file path=customXml/itemProps3.xml><?xml version="1.0" encoding="utf-8"?>
<ds:datastoreItem xmlns:ds="http://schemas.openxmlformats.org/officeDocument/2006/customXml" ds:itemID="{61A475AF-0499-4110-8734-09C9B7F5FA05}"/>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2402</Characters>
  <Application>Microsoft Office Word</Application>
  <DocSecurity>0</DocSecurity>
  <Lines>20</Lines>
  <Paragraphs>5</Paragraphs>
  <ScaleCrop>false</ScaleCrop>
  <HeadingPairs>
    <vt:vector size="6" baseType="variant">
      <vt:variant>
        <vt:lpstr>Title</vt:lpstr>
      </vt:variant>
      <vt:variant>
        <vt:i4>1</vt:i4>
      </vt:variant>
      <vt:variant>
        <vt:lpstr>Naslov</vt:lpstr>
      </vt:variant>
      <vt:variant>
        <vt:i4>1</vt:i4>
      </vt:variant>
      <vt:variant>
        <vt:lpstr>Podnaslovi</vt:lpstr>
      </vt:variant>
      <vt:variant>
        <vt:i4>1</vt:i4>
      </vt:variant>
    </vt:vector>
  </HeadingPairs>
  <TitlesOfParts>
    <vt:vector size="3" baseType="lpstr">
      <vt:lpstr/>
      <vt:lpstr>To</vt:lpstr>
      <vt:lpstr>Subject:</vt:lpstr>
    </vt:vector>
  </TitlesOfParts>
  <Company>Ljubljanska borza d.d.</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Metka Šipek</dc:creator>
  <cp:keywords/>
  <dc:description/>
  <cp:lastModifiedBy>VitoS</cp:lastModifiedBy>
  <cp:revision>8</cp:revision>
  <cp:lastPrinted>2016-05-23T15:16:00Z</cp:lastPrinted>
  <dcterms:created xsi:type="dcterms:W3CDTF">2016-05-23T10:32:00Z</dcterms:created>
  <dcterms:modified xsi:type="dcterms:W3CDTF">2016-05-24T08:13:00Z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0x010100EF8154C7B440E5428FAC6A451404B155</vt:lpwstr>
  </property>
</Properties>
</file>