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6B" w:rsidRPr="00E71365" w:rsidRDefault="006753AB" w:rsidP="0066336B">
      <w:pPr>
        <w:ind w:right="561"/>
        <w:rPr>
          <w:rFonts w:cs="Arial"/>
        </w:rPr>
      </w:pPr>
      <w:r>
        <w:rPr>
          <w:rFonts w:cs="Arial"/>
        </w:rPr>
        <w:t>Zagreb</w:t>
      </w:r>
      <w:r w:rsidR="0066336B" w:rsidRPr="00E71365">
        <w:rPr>
          <w:rFonts w:cs="Arial"/>
        </w:rPr>
        <w:t xml:space="preserve">, </w:t>
      </w:r>
      <w:r>
        <w:rPr>
          <w:rFonts w:cs="Arial"/>
        </w:rPr>
        <w:t>24 May 2016</w:t>
      </w:r>
    </w:p>
    <w:p w:rsidR="0066336B" w:rsidRDefault="0066336B" w:rsidP="0066336B">
      <w:pPr>
        <w:pStyle w:val="Headline1"/>
      </w:pPr>
    </w:p>
    <w:p w:rsidR="006753AB" w:rsidRDefault="006753AB" w:rsidP="0066336B">
      <w:pPr>
        <w:pStyle w:val="Default"/>
        <w:spacing w:line="280" w:lineRule="atLeast"/>
        <w:rPr>
          <w:rFonts w:asciiTheme="minorHAnsi" w:hAnsiTheme="minorHAnsi"/>
          <w:b/>
          <w:color w:val="FF9614"/>
          <w:sz w:val="28"/>
          <w:szCs w:val="28"/>
          <w:lang w:val="sl-SI" w:eastAsia="de-AT"/>
        </w:rPr>
      </w:pPr>
      <w:r w:rsidRPr="006753AB">
        <w:rPr>
          <w:rFonts w:asciiTheme="minorHAnsi" w:hAnsiTheme="minorHAnsi"/>
          <w:b/>
          <w:color w:val="FF9614"/>
          <w:sz w:val="28"/>
          <w:szCs w:val="28"/>
          <w:lang w:val="sl-SI" w:eastAsia="de-AT"/>
        </w:rPr>
        <w:t>Joint Ljubljana and Zagreb Stock Exchanges</w:t>
      </w:r>
      <w:r>
        <w:rPr>
          <w:rFonts w:asciiTheme="minorHAnsi" w:hAnsiTheme="minorHAnsi"/>
          <w:b/>
          <w:color w:val="FF9614"/>
          <w:sz w:val="28"/>
          <w:szCs w:val="28"/>
          <w:lang w:val="sl-SI" w:eastAsia="de-AT"/>
        </w:rPr>
        <w:t>'</w:t>
      </w:r>
      <w:r w:rsidRPr="006753AB">
        <w:rPr>
          <w:rFonts w:asciiTheme="minorHAnsi" w:hAnsiTheme="minorHAnsi"/>
          <w:b/>
          <w:color w:val="FF9614"/>
          <w:sz w:val="28"/>
          <w:szCs w:val="28"/>
          <w:lang w:val="sl-SI" w:eastAsia="de-AT"/>
        </w:rPr>
        <w:t xml:space="preserve"> Investor Day</w:t>
      </w:r>
    </w:p>
    <w:p w:rsidR="006753AB" w:rsidRDefault="006753AB" w:rsidP="0066336B">
      <w:pPr>
        <w:pStyle w:val="Default"/>
        <w:spacing w:line="280" w:lineRule="atLeast"/>
        <w:rPr>
          <w:rFonts w:asciiTheme="minorHAnsi" w:hAnsiTheme="minorHAnsi"/>
          <w:b/>
          <w:color w:val="FF9614"/>
          <w:sz w:val="28"/>
          <w:szCs w:val="28"/>
          <w:lang w:val="sl-SI" w:eastAsia="de-AT"/>
        </w:rPr>
      </w:pPr>
    </w:p>
    <w:p w:rsidR="000B384A" w:rsidRPr="000B384A" w:rsidRDefault="000B384A" w:rsidP="000B384A">
      <w:pPr>
        <w:ind w:right="-30"/>
        <w:rPr>
          <w:rFonts w:cs="Arial"/>
          <w:color w:val="000000"/>
          <w:lang w:eastAsia="sl-SI"/>
        </w:rPr>
      </w:pPr>
      <w:bookmarkStart w:id="0" w:name="_GoBack"/>
      <w:r w:rsidRPr="000B384A">
        <w:rPr>
          <w:rFonts w:cs="Arial"/>
          <w:color w:val="000000"/>
          <w:lang w:eastAsia="sl-SI"/>
        </w:rPr>
        <w:t xml:space="preserve">Today the </w:t>
      </w:r>
      <w:r w:rsidRPr="000B384A">
        <w:rPr>
          <w:rFonts w:cs="Arial"/>
          <w:b/>
          <w:color w:val="000000"/>
          <w:lang w:eastAsia="sl-SI"/>
        </w:rPr>
        <w:t>third joint Ljubljana and Zagreb Stock Exchanges’ Investor Day</w:t>
      </w:r>
      <w:r w:rsidRPr="000B384A">
        <w:rPr>
          <w:rFonts w:cs="Arial"/>
          <w:color w:val="000000"/>
          <w:lang w:eastAsia="sl-SI"/>
        </w:rPr>
        <w:t xml:space="preserve"> is being held in Zagreb. This year’s Conference is </w:t>
      </w:r>
      <w:r w:rsidRPr="000B384A">
        <w:rPr>
          <w:rFonts w:cs="Arial"/>
          <w:b/>
          <w:color w:val="000000"/>
          <w:lang w:eastAsia="sl-SI"/>
        </w:rPr>
        <w:t>the most successful one to date</w:t>
      </w:r>
      <w:r w:rsidRPr="000B384A">
        <w:rPr>
          <w:rFonts w:cs="Arial"/>
          <w:color w:val="000000"/>
          <w:lang w:eastAsia="sl-SI"/>
        </w:rPr>
        <w:t xml:space="preserve">, as the </w:t>
      </w:r>
      <w:r w:rsidRPr="000B384A">
        <w:rPr>
          <w:rFonts w:cs="Arial"/>
          <w:b/>
          <w:color w:val="000000"/>
          <w:lang w:eastAsia="sl-SI"/>
        </w:rPr>
        <w:t>interest of investors for meetings</w:t>
      </w:r>
      <w:r w:rsidRPr="000B384A">
        <w:rPr>
          <w:rFonts w:cs="Arial"/>
          <w:color w:val="000000"/>
          <w:lang w:eastAsia="sl-SI"/>
        </w:rPr>
        <w:t xml:space="preserve"> with participating listed companies </w:t>
      </w:r>
      <w:r w:rsidRPr="000B384A">
        <w:rPr>
          <w:rFonts w:cs="Arial"/>
          <w:b/>
          <w:color w:val="000000"/>
          <w:lang w:eastAsia="sl-SI"/>
        </w:rPr>
        <w:t>rose by 25%</w:t>
      </w:r>
      <w:r w:rsidRPr="000B384A">
        <w:rPr>
          <w:rFonts w:cs="Arial"/>
          <w:color w:val="000000"/>
          <w:lang w:eastAsia="sl-SI"/>
        </w:rPr>
        <w:t xml:space="preserve"> compared to last year. Moreover, also </w:t>
      </w:r>
      <w:r w:rsidRPr="000B384A">
        <w:rPr>
          <w:rFonts w:cs="Arial"/>
          <w:b/>
          <w:color w:val="000000"/>
          <w:lang w:eastAsia="sl-SI"/>
        </w:rPr>
        <w:t>the number of participating international investors is much higher than last year</w:t>
      </w:r>
      <w:r w:rsidRPr="000B384A">
        <w:rPr>
          <w:rFonts w:cs="Arial"/>
          <w:color w:val="000000"/>
          <w:lang w:eastAsia="sl-SI"/>
        </w:rPr>
        <w:t xml:space="preserve">. </w:t>
      </w:r>
    </w:p>
    <w:p w:rsidR="000B384A" w:rsidRPr="000B384A" w:rsidRDefault="000B384A" w:rsidP="000B384A">
      <w:pPr>
        <w:ind w:right="-30"/>
        <w:rPr>
          <w:rFonts w:cs="Arial"/>
          <w:color w:val="000000"/>
          <w:lang w:eastAsia="sl-SI"/>
        </w:rPr>
      </w:pPr>
    </w:p>
    <w:p w:rsidR="000B384A" w:rsidRPr="000B384A" w:rsidRDefault="000B384A" w:rsidP="000B384A">
      <w:pPr>
        <w:ind w:right="-30"/>
        <w:rPr>
          <w:rFonts w:cs="Arial"/>
          <w:color w:val="000000"/>
          <w:lang w:eastAsia="sl-SI"/>
        </w:rPr>
      </w:pPr>
      <w:r w:rsidRPr="000B384A">
        <w:rPr>
          <w:rFonts w:cs="Arial"/>
          <w:color w:val="000000"/>
          <w:lang w:eastAsia="sl-SI"/>
        </w:rPr>
        <w:t xml:space="preserve">Seven Slovenian and six Croatian listed companies of the highest quality are participating in the Conference: Atlantic </w:t>
      </w:r>
      <w:proofErr w:type="spellStart"/>
      <w:r w:rsidRPr="000B384A">
        <w:rPr>
          <w:rFonts w:cs="Arial"/>
          <w:color w:val="000000"/>
          <w:lang w:eastAsia="sl-SI"/>
        </w:rPr>
        <w:t>Grupa</w:t>
      </w:r>
      <w:proofErr w:type="spellEnd"/>
      <w:r w:rsidRPr="000B384A">
        <w:rPr>
          <w:rFonts w:cs="Arial"/>
          <w:color w:val="000000"/>
          <w:lang w:eastAsia="sl-SI"/>
        </w:rPr>
        <w:t xml:space="preserve">, </w:t>
      </w:r>
      <w:proofErr w:type="spellStart"/>
      <w:r w:rsidRPr="000B384A">
        <w:rPr>
          <w:rFonts w:cs="Arial"/>
          <w:color w:val="000000"/>
          <w:lang w:eastAsia="sl-SI"/>
        </w:rPr>
        <w:t>Intereuropa</w:t>
      </w:r>
      <w:proofErr w:type="spellEnd"/>
      <w:r w:rsidRPr="000B384A">
        <w:rPr>
          <w:rFonts w:cs="Arial"/>
          <w:color w:val="000000"/>
          <w:lang w:eastAsia="sl-SI"/>
        </w:rPr>
        <w:t xml:space="preserve">, </w:t>
      </w:r>
      <w:proofErr w:type="spellStart"/>
      <w:r w:rsidRPr="000B384A">
        <w:rPr>
          <w:rFonts w:cs="Arial"/>
          <w:color w:val="000000"/>
          <w:lang w:eastAsia="sl-SI"/>
        </w:rPr>
        <w:t>Gorenje</w:t>
      </w:r>
      <w:proofErr w:type="spellEnd"/>
      <w:r w:rsidRPr="000B384A">
        <w:rPr>
          <w:rFonts w:cs="Arial"/>
          <w:color w:val="000000"/>
          <w:lang w:eastAsia="sl-SI"/>
        </w:rPr>
        <w:t xml:space="preserve">, </w:t>
      </w:r>
      <w:proofErr w:type="spellStart"/>
      <w:r w:rsidRPr="000B384A">
        <w:rPr>
          <w:rFonts w:cs="Arial"/>
          <w:color w:val="000000"/>
          <w:lang w:eastAsia="sl-SI"/>
        </w:rPr>
        <w:t>Hrvatski</w:t>
      </w:r>
      <w:proofErr w:type="spellEnd"/>
      <w:r w:rsidRPr="000B384A">
        <w:rPr>
          <w:rFonts w:cs="Arial"/>
          <w:color w:val="000000"/>
          <w:lang w:eastAsia="sl-SI"/>
        </w:rPr>
        <w:t xml:space="preserve"> Telekom, </w:t>
      </w:r>
      <w:proofErr w:type="spellStart"/>
      <w:r w:rsidRPr="000B384A">
        <w:rPr>
          <w:rFonts w:cs="Arial"/>
          <w:color w:val="000000"/>
          <w:lang w:eastAsia="sl-SI"/>
        </w:rPr>
        <w:t>Krka</w:t>
      </w:r>
      <w:proofErr w:type="spellEnd"/>
      <w:r w:rsidRPr="000B384A">
        <w:rPr>
          <w:rFonts w:cs="Arial"/>
          <w:color w:val="000000"/>
          <w:lang w:eastAsia="sl-SI"/>
        </w:rPr>
        <w:t xml:space="preserve">, Luka </w:t>
      </w:r>
      <w:proofErr w:type="spellStart"/>
      <w:r w:rsidRPr="000B384A">
        <w:rPr>
          <w:rFonts w:cs="Arial"/>
          <w:color w:val="000000"/>
          <w:lang w:eastAsia="sl-SI"/>
        </w:rPr>
        <w:t>Koper</w:t>
      </w:r>
      <w:proofErr w:type="spellEnd"/>
      <w:r w:rsidRPr="000B384A">
        <w:rPr>
          <w:rFonts w:cs="Arial"/>
          <w:color w:val="000000"/>
          <w:lang w:eastAsia="sl-SI"/>
        </w:rPr>
        <w:t xml:space="preserve">, Luka Rijeka, Petrol, </w:t>
      </w:r>
      <w:proofErr w:type="spellStart"/>
      <w:r w:rsidRPr="000B384A">
        <w:rPr>
          <w:rFonts w:cs="Arial"/>
          <w:color w:val="000000"/>
          <w:lang w:eastAsia="sl-SI"/>
        </w:rPr>
        <w:t>Podravka</w:t>
      </w:r>
      <w:proofErr w:type="spellEnd"/>
      <w:r w:rsidRPr="000B384A">
        <w:rPr>
          <w:rFonts w:cs="Arial"/>
          <w:color w:val="000000"/>
          <w:lang w:eastAsia="sl-SI"/>
        </w:rPr>
        <w:t xml:space="preserve">, </w:t>
      </w:r>
      <w:proofErr w:type="spellStart"/>
      <w:r w:rsidRPr="000B384A">
        <w:rPr>
          <w:rFonts w:cs="Arial"/>
          <w:color w:val="000000"/>
          <w:lang w:eastAsia="sl-SI"/>
        </w:rPr>
        <w:t>Pozavarovalnica</w:t>
      </w:r>
      <w:proofErr w:type="spellEnd"/>
      <w:r w:rsidRPr="000B384A">
        <w:rPr>
          <w:rFonts w:cs="Arial"/>
          <w:color w:val="000000"/>
          <w:lang w:eastAsia="sl-SI"/>
        </w:rPr>
        <w:t xml:space="preserve"> Sava, </w:t>
      </w:r>
      <w:proofErr w:type="spellStart"/>
      <w:r w:rsidRPr="000B384A">
        <w:rPr>
          <w:rFonts w:cs="Arial"/>
          <w:color w:val="000000"/>
          <w:lang w:eastAsia="sl-SI"/>
        </w:rPr>
        <w:t>Tankerska</w:t>
      </w:r>
      <w:proofErr w:type="spellEnd"/>
      <w:r w:rsidRPr="000B384A">
        <w:rPr>
          <w:rFonts w:cs="Arial"/>
          <w:color w:val="000000"/>
          <w:lang w:eastAsia="sl-SI"/>
        </w:rPr>
        <w:t xml:space="preserve"> Next Generation, </w:t>
      </w:r>
      <w:proofErr w:type="spellStart"/>
      <w:r w:rsidRPr="000B384A">
        <w:rPr>
          <w:rFonts w:cs="Arial"/>
          <w:color w:val="000000"/>
          <w:lang w:eastAsia="sl-SI"/>
        </w:rPr>
        <w:t>Zavarovalnica</w:t>
      </w:r>
      <w:proofErr w:type="spellEnd"/>
      <w:r w:rsidRPr="000B384A">
        <w:rPr>
          <w:rFonts w:cs="Arial"/>
          <w:color w:val="000000"/>
          <w:lang w:eastAsia="sl-SI"/>
        </w:rPr>
        <w:t xml:space="preserve"> </w:t>
      </w:r>
      <w:proofErr w:type="spellStart"/>
      <w:r w:rsidRPr="000B384A">
        <w:rPr>
          <w:rFonts w:cs="Arial"/>
          <w:color w:val="000000"/>
          <w:lang w:eastAsia="sl-SI"/>
        </w:rPr>
        <w:t>Triglav</w:t>
      </w:r>
      <w:proofErr w:type="spellEnd"/>
      <w:r w:rsidRPr="000B384A">
        <w:rPr>
          <w:rFonts w:cs="Arial"/>
          <w:color w:val="000000"/>
          <w:lang w:eastAsia="sl-SI"/>
        </w:rPr>
        <w:t xml:space="preserve"> and </w:t>
      </w:r>
      <w:proofErr w:type="spellStart"/>
      <w:r w:rsidRPr="000B384A">
        <w:rPr>
          <w:rFonts w:cs="Arial"/>
          <w:color w:val="000000"/>
          <w:lang w:eastAsia="sl-SI"/>
        </w:rPr>
        <w:t>Valamar</w:t>
      </w:r>
      <w:proofErr w:type="spellEnd"/>
      <w:r w:rsidRPr="000B384A">
        <w:rPr>
          <w:rFonts w:cs="Arial"/>
          <w:color w:val="000000"/>
          <w:lang w:eastAsia="sl-SI"/>
        </w:rPr>
        <w:t xml:space="preserve"> Riviera.</w:t>
      </w:r>
    </w:p>
    <w:p w:rsidR="000B384A" w:rsidRPr="000B384A" w:rsidRDefault="000B384A" w:rsidP="000B384A">
      <w:pPr>
        <w:ind w:right="-30"/>
        <w:rPr>
          <w:rFonts w:cs="Arial"/>
          <w:color w:val="000000"/>
          <w:lang w:eastAsia="sl-SI"/>
        </w:rPr>
      </w:pPr>
    </w:p>
    <w:p w:rsidR="000B384A" w:rsidRPr="000B384A" w:rsidRDefault="000B384A" w:rsidP="000B384A">
      <w:pPr>
        <w:ind w:right="-30"/>
        <w:rPr>
          <w:rFonts w:cs="Arial"/>
          <w:color w:val="000000"/>
          <w:lang w:eastAsia="sl-SI"/>
        </w:rPr>
      </w:pPr>
      <w:r w:rsidRPr="000B384A">
        <w:rPr>
          <w:rFonts w:cs="Arial"/>
          <w:color w:val="000000"/>
          <w:lang w:eastAsia="sl-SI"/>
        </w:rPr>
        <w:t xml:space="preserve">The event is being attended by </w:t>
      </w:r>
      <w:r w:rsidRPr="000B384A">
        <w:rPr>
          <w:rFonts w:cs="Arial"/>
          <w:b/>
          <w:color w:val="000000"/>
          <w:lang w:eastAsia="sl-SI"/>
        </w:rPr>
        <w:t>28 investment companies and banks and 55 analysts and investors</w:t>
      </w:r>
      <w:r w:rsidRPr="000B384A">
        <w:rPr>
          <w:rFonts w:cs="Arial"/>
          <w:color w:val="000000"/>
          <w:lang w:eastAsia="sl-SI"/>
        </w:rPr>
        <w:t xml:space="preserve"> from Hungary, Czech Republic, Estonia, the USA, Croatia and Slovenia. There were record </w:t>
      </w:r>
      <w:r w:rsidRPr="000B384A">
        <w:rPr>
          <w:rFonts w:cs="Arial"/>
          <w:b/>
          <w:color w:val="000000"/>
          <w:lang w:eastAsia="sl-SI"/>
        </w:rPr>
        <w:t>186 requests for meetings</w:t>
      </w:r>
      <w:r w:rsidRPr="000B384A">
        <w:rPr>
          <w:rFonts w:cs="Arial"/>
          <w:color w:val="000000"/>
          <w:lang w:eastAsia="sl-SI"/>
        </w:rPr>
        <w:t xml:space="preserve"> and the companies will hold as many as </w:t>
      </w:r>
      <w:r w:rsidRPr="000B384A">
        <w:rPr>
          <w:rFonts w:cs="Arial"/>
          <w:b/>
          <w:color w:val="000000"/>
          <w:lang w:eastAsia="sl-SI"/>
        </w:rPr>
        <w:t>160 individual and group meetings</w:t>
      </w:r>
      <w:r w:rsidRPr="000B384A">
        <w:rPr>
          <w:rFonts w:cs="Arial"/>
          <w:color w:val="000000"/>
          <w:lang w:eastAsia="sl-SI"/>
        </w:rPr>
        <w:t xml:space="preserve">. </w:t>
      </w:r>
    </w:p>
    <w:p w:rsidR="000B384A" w:rsidRPr="000B384A" w:rsidRDefault="000B384A" w:rsidP="000B384A">
      <w:pPr>
        <w:ind w:right="-30"/>
        <w:rPr>
          <w:rFonts w:cs="Arial"/>
          <w:color w:val="000000"/>
          <w:lang w:eastAsia="sl-SI"/>
        </w:rPr>
      </w:pPr>
    </w:p>
    <w:p w:rsidR="000B384A" w:rsidRPr="000B384A" w:rsidRDefault="000B384A" w:rsidP="000B384A">
      <w:pPr>
        <w:ind w:right="-30"/>
        <w:rPr>
          <w:rFonts w:cs="Arial"/>
          <w:color w:val="000000"/>
          <w:lang w:eastAsia="sl-SI"/>
        </w:rPr>
      </w:pPr>
      <w:r w:rsidRPr="000B384A">
        <w:rPr>
          <w:rFonts w:cs="Arial"/>
          <w:color w:val="000000"/>
          <w:lang w:eastAsia="sl-SI"/>
        </w:rPr>
        <w:t xml:space="preserve">For this occasion Mrs. Ivana </w:t>
      </w:r>
      <w:proofErr w:type="spellStart"/>
      <w:r w:rsidRPr="000B384A">
        <w:rPr>
          <w:rFonts w:cs="Arial"/>
          <w:color w:val="000000"/>
          <w:lang w:eastAsia="sl-SI"/>
        </w:rPr>
        <w:t>Gažić</w:t>
      </w:r>
      <w:proofErr w:type="spellEnd"/>
      <w:r w:rsidRPr="000B384A">
        <w:rPr>
          <w:rFonts w:cs="Arial"/>
          <w:color w:val="000000"/>
          <w:lang w:eastAsia="sl-SI"/>
        </w:rPr>
        <w:t>, President of the Management Board of the Zagreb Stock Exchange, stated, “We are very pleased that this joint investment conference grew into a respectable event that underscores the significance of the mutual presentation of Croatian and Slovenian capital markets. Every year, we note the increasing interest of the participants, especially foreign, which these years make a quarter of the total number of investors. We hope that this large number of meetings realized in just one day will bring some new quality investment projects to both markets.”</w:t>
      </w:r>
    </w:p>
    <w:p w:rsidR="000B384A" w:rsidRPr="000B384A" w:rsidRDefault="000B384A" w:rsidP="000B384A">
      <w:pPr>
        <w:ind w:right="-30"/>
        <w:rPr>
          <w:rFonts w:cs="Arial"/>
          <w:color w:val="000000"/>
          <w:lang w:eastAsia="sl-SI"/>
        </w:rPr>
      </w:pPr>
    </w:p>
    <w:p w:rsidR="000B384A" w:rsidRPr="000B384A" w:rsidRDefault="000B384A" w:rsidP="000B384A">
      <w:pPr>
        <w:ind w:right="-30"/>
        <w:rPr>
          <w:rFonts w:cs="Arial"/>
          <w:color w:val="000000"/>
          <w:lang w:eastAsia="sl-SI"/>
        </w:rPr>
      </w:pPr>
      <w:proofErr w:type="spellStart"/>
      <w:r w:rsidRPr="000B384A">
        <w:rPr>
          <w:rFonts w:cs="Arial"/>
          <w:color w:val="000000"/>
          <w:lang w:eastAsia="sl-SI"/>
        </w:rPr>
        <w:t>Mr</w:t>
      </w:r>
      <w:proofErr w:type="spellEnd"/>
      <w:r w:rsidRPr="000B384A">
        <w:rPr>
          <w:rFonts w:cs="Arial"/>
          <w:color w:val="000000"/>
          <w:lang w:eastAsia="sl-SI"/>
        </w:rPr>
        <w:t xml:space="preserve"> Andrej </w:t>
      </w:r>
      <w:proofErr w:type="spellStart"/>
      <w:r w:rsidRPr="000B384A">
        <w:rPr>
          <w:rFonts w:cs="Arial"/>
          <w:color w:val="000000"/>
          <w:lang w:eastAsia="sl-SI"/>
        </w:rPr>
        <w:t>Šketa</w:t>
      </w:r>
      <w:proofErr w:type="spellEnd"/>
      <w:r w:rsidRPr="000B384A">
        <w:rPr>
          <w:rFonts w:cs="Arial"/>
          <w:color w:val="000000"/>
          <w:lang w:eastAsia="sl-SI"/>
        </w:rPr>
        <w:t xml:space="preserve">, President of the Management Board of the Ljubljana Stock Exchange further added, “Growing interest of investors confirms that the region has a potential for growth and that interest in investing in the region is considerable, which represents a great opportunity for other companies to finance growth and investment projects through the capital market.”  </w:t>
      </w:r>
    </w:p>
    <w:p w:rsidR="000B384A" w:rsidRPr="000B384A" w:rsidRDefault="000B384A" w:rsidP="000B384A">
      <w:pPr>
        <w:ind w:right="-30"/>
        <w:rPr>
          <w:rFonts w:cs="Arial"/>
          <w:color w:val="000000"/>
          <w:lang w:eastAsia="sl-SI"/>
        </w:rPr>
      </w:pPr>
      <w:r w:rsidRPr="000B384A">
        <w:rPr>
          <w:rFonts w:cs="Arial"/>
          <w:color w:val="000000"/>
          <w:lang w:eastAsia="sl-SI"/>
        </w:rPr>
        <w:tab/>
      </w:r>
    </w:p>
    <w:p w:rsidR="000B384A" w:rsidRPr="000B384A" w:rsidRDefault="000B384A" w:rsidP="000B384A">
      <w:pPr>
        <w:ind w:right="-30"/>
        <w:rPr>
          <w:rFonts w:cs="Arial"/>
          <w:color w:val="000000"/>
          <w:lang w:eastAsia="sl-SI"/>
        </w:rPr>
      </w:pPr>
      <w:r w:rsidRPr="000B384A">
        <w:rPr>
          <w:rFonts w:cs="Arial"/>
          <w:color w:val="000000"/>
          <w:lang w:eastAsia="sl-SI"/>
        </w:rPr>
        <w:t>The Zagreb and Ljubljana Stock Exchanges will continue with individual and joint activities to increase investors’ interest and to further strengthen the existing trust of local as well as international investors.</w:t>
      </w:r>
    </w:p>
    <w:bookmarkEnd w:id="0"/>
    <w:p w:rsidR="0066336B" w:rsidRDefault="0066336B" w:rsidP="000B384A">
      <w:pPr>
        <w:ind w:right="-30"/>
        <w:rPr>
          <w:rFonts w:cs="Arial"/>
          <w:color w:val="000000"/>
        </w:rPr>
      </w:pPr>
    </w:p>
    <w:p w:rsidR="006753AB" w:rsidRPr="006753AB" w:rsidRDefault="006753AB" w:rsidP="0066336B">
      <w:pPr>
        <w:ind w:right="561"/>
        <w:rPr>
          <w:rFonts w:cs="Arial"/>
          <w:color w:val="000000"/>
          <w:sz w:val="18"/>
          <w:szCs w:val="18"/>
        </w:rPr>
      </w:pPr>
      <w:r w:rsidRPr="006753AB">
        <w:rPr>
          <w:rFonts w:cs="Arial"/>
          <w:color w:val="000000"/>
          <w:sz w:val="18"/>
          <w:szCs w:val="18"/>
        </w:rPr>
        <w:t>PARTICIPATING COMPANIES:</w:t>
      </w:r>
    </w:p>
    <w:tbl>
      <w:tblPr>
        <w:tblpPr w:leftFromText="180" w:rightFromText="180" w:vertAnchor="text" w:horzAnchor="margin" w:tblpY="12"/>
        <w:tblW w:w="10065" w:type="dxa"/>
        <w:tblBorders>
          <w:insideH w:val="dotted" w:sz="4" w:space="0" w:color="auto"/>
          <w:insideV w:val="dotted" w:sz="4" w:space="0" w:color="auto"/>
        </w:tblBorders>
        <w:tblLook w:val="04A0" w:firstRow="1" w:lastRow="0" w:firstColumn="1" w:lastColumn="0" w:noHBand="0" w:noVBand="1"/>
      </w:tblPr>
      <w:tblGrid>
        <w:gridCol w:w="2269"/>
        <w:gridCol w:w="7796"/>
      </w:tblGrid>
      <w:tr w:rsidR="006753AB" w:rsidRPr="00CA7A6E" w:rsidTr="00DA464A">
        <w:tc>
          <w:tcPr>
            <w:tcW w:w="2269" w:type="dxa"/>
            <w:shd w:val="clear" w:color="auto" w:fill="auto"/>
          </w:tcPr>
          <w:p w:rsidR="006753AB" w:rsidRPr="00CA7A6E" w:rsidRDefault="006753AB" w:rsidP="00DA464A">
            <w:pPr>
              <w:tabs>
                <w:tab w:val="left" w:pos="9781"/>
              </w:tabs>
              <w:ind w:right="43"/>
              <w:rPr>
                <w:sz w:val="18"/>
              </w:rPr>
            </w:pPr>
            <w:proofErr w:type="spellStart"/>
            <w:r w:rsidRPr="00CA7A6E">
              <w:rPr>
                <w:sz w:val="18"/>
              </w:rPr>
              <w:t>Ljubjanska</w:t>
            </w:r>
            <w:proofErr w:type="spellEnd"/>
            <w:r w:rsidRPr="00CA7A6E">
              <w:rPr>
                <w:sz w:val="18"/>
              </w:rPr>
              <w:t xml:space="preserve"> </w:t>
            </w:r>
            <w:proofErr w:type="spellStart"/>
            <w:r w:rsidRPr="00CA7A6E">
              <w:rPr>
                <w:sz w:val="18"/>
              </w:rPr>
              <w:t>borza</w:t>
            </w:r>
            <w:proofErr w:type="spellEnd"/>
          </w:p>
        </w:tc>
        <w:tc>
          <w:tcPr>
            <w:tcW w:w="7796" w:type="dxa"/>
            <w:shd w:val="clear" w:color="auto" w:fill="auto"/>
          </w:tcPr>
          <w:p w:rsidR="006753AB" w:rsidRPr="00CA7A6E" w:rsidRDefault="006753AB" w:rsidP="00DA464A">
            <w:pPr>
              <w:tabs>
                <w:tab w:val="left" w:pos="9781"/>
              </w:tabs>
              <w:ind w:right="43"/>
              <w:rPr>
                <w:sz w:val="18"/>
              </w:rPr>
            </w:pPr>
            <w:proofErr w:type="spellStart"/>
            <w:r w:rsidRPr="00CA7A6E">
              <w:rPr>
                <w:sz w:val="18"/>
              </w:rPr>
              <w:t>Gorenje</w:t>
            </w:r>
            <w:proofErr w:type="spellEnd"/>
            <w:r w:rsidRPr="00CA7A6E">
              <w:rPr>
                <w:sz w:val="18"/>
              </w:rPr>
              <w:t xml:space="preserve">,  </w:t>
            </w:r>
            <w:proofErr w:type="spellStart"/>
            <w:r w:rsidRPr="00CA7A6E">
              <w:rPr>
                <w:sz w:val="18"/>
              </w:rPr>
              <w:t>Intereuropa</w:t>
            </w:r>
            <w:proofErr w:type="spellEnd"/>
            <w:r w:rsidRPr="00CA7A6E">
              <w:rPr>
                <w:sz w:val="18"/>
              </w:rPr>
              <w:t xml:space="preserve">, </w:t>
            </w:r>
            <w:proofErr w:type="spellStart"/>
            <w:r w:rsidRPr="00CA7A6E">
              <w:rPr>
                <w:sz w:val="18"/>
              </w:rPr>
              <w:t>Krka</w:t>
            </w:r>
            <w:proofErr w:type="spellEnd"/>
            <w:r w:rsidRPr="00CA7A6E">
              <w:rPr>
                <w:sz w:val="18"/>
              </w:rPr>
              <w:t xml:space="preserve">, Luka </w:t>
            </w:r>
            <w:proofErr w:type="spellStart"/>
            <w:r w:rsidRPr="00CA7A6E">
              <w:rPr>
                <w:sz w:val="18"/>
              </w:rPr>
              <w:t>Koper</w:t>
            </w:r>
            <w:proofErr w:type="spellEnd"/>
            <w:r w:rsidRPr="00CA7A6E">
              <w:rPr>
                <w:sz w:val="18"/>
              </w:rPr>
              <w:t xml:space="preserve">, Petrol, </w:t>
            </w:r>
            <w:proofErr w:type="spellStart"/>
            <w:r w:rsidRPr="00CA7A6E">
              <w:rPr>
                <w:sz w:val="18"/>
              </w:rPr>
              <w:t>Pozavarovalnica</w:t>
            </w:r>
            <w:proofErr w:type="spellEnd"/>
            <w:r w:rsidRPr="00CA7A6E">
              <w:rPr>
                <w:sz w:val="18"/>
              </w:rPr>
              <w:t xml:space="preserve"> Sava, </w:t>
            </w:r>
            <w:proofErr w:type="spellStart"/>
            <w:r w:rsidRPr="00CA7A6E">
              <w:rPr>
                <w:sz w:val="18"/>
              </w:rPr>
              <w:t>Zavarovalnica</w:t>
            </w:r>
            <w:proofErr w:type="spellEnd"/>
            <w:r w:rsidRPr="00CA7A6E">
              <w:rPr>
                <w:sz w:val="18"/>
              </w:rPr>
              <w:t xml:space="preserve"> </w:t>
            </w:r>
            <w:proofErr w:type="spellStart"/>
            <w:r w:rsidRPr="00CA7A6E">
              <w:rPr>
                <w:sz w:val="18"/>
              </w:rPr>
              <w:t>Triglav</w:t>
            </w:r>
            <w:proofErr w:type="spellEnd"/>
          </w:p>
        </w:tc>
      </w:tr>
      <w:tr w:rsidR="006753AB" w:rsidRPr="00CA7A6E" w:rsidTr="00DA464A">
        <w:tc>
          <w:tcPr>
            <w:tcW w:w="2269" w:type="dxa"/>
            <w:shd w:val="clear" w:color="auto" w:fill="auto"/>
          </w:tcPr>
          <w:p w:rsidR="006753AB" w:rsidRPr="00CA7A6E" w:rsidRDefault="006753AB" w:rsidP="00DA464A">
            <w:pPr>
              <w:tabs>
                <w:tab w:val="left" w:pos="9781"/>
              </w:tabs>
              <w:ind w:right="43"/>
              <w:rPr>
                <w:sz w:val="18"/>
              </w:rPr>
            </w:pPr>
            <w:proofErr w:type="spellStart"/>
            <w:r w:rsidRPr="00CA7A6E">
              <w:rPr>
                <w:sz w:val="18"/>
              </w:rPr>
              <w:t>Zagrebška</w:t>
            </w:r>
            <w:proofErr w:type="spellEnd"/>
            <w:r w:rsidRPr="00CA7A6E">
              <w:rPr>
                <w:sz w:val="18"/>
              </w:rPr>
              <w:t xml:space="preserve"> </w:t>
            </w:r>
            <w:proofErr w:type="spellStart"/>
            <w:r w:rsidRPr="00CA7A6E">
              <w:rPr>
                <w:sz w:val="18"/>
              </w:rPr>
              <w:t>borza</w:t>
            </w:r>
            <w:proofErr w:type="spellEnd"/>
          </w:p>
        </w:tc>
        <w:tc>
          <w:tcPr>
            <w:tcW w:w="7796" w:type="dxa"/>
            <w:shd w:val="clear" w:color="auto" w:fill="auto"/>
          </w:tcPr>
          <w:p w:rsidR="006753AB" w:rsidRPr="00CA7A6E" w:rsidRDefault="006753AB" w:rsidP="00DA464A">
            <w:pPr>
              <w:tabs>
                <w:tab w:val="left" w:pos="9781"/>
              </w:tabs>
              <w:ind w:right="43"/>
              <w:rPr>
                <w:sz w:val="18"/>
              </w:rPr>
            </w:pPr>
            <w:r w:rsidRPr="00CA7A6E">
              <w:rPr>
                <w:sz w:val="18"/>
              </w:rPr>
              <w:t xml:space="preserve">Atlantic </w:t>
            </w:r>
            <w:proofErr w:type="spellStart"/>
            <w:r w:rsidRPr="00CA7A6E">
              <w:rPr>
                <w:sz w:val="18"/>
              </w:rPr>
              <w:t>Grupa</w:t>
            </w:r>
            <w:proofErr w:type="spellEnd"/>
            <w:r w:rsidRPr="00CA7A6E">
              <w:rPr>
                <w:sz w:val="18"/>
              </w:rPr>
              <w:t xml:space="preserve">, </w:t>
            </w:r>
            <w:proofErr w:type="spellStart"/>
            <w:r w:rsidRPr="00CA7A6E">
              <w:rPr>
                <w:sz w:val="18"/>
              </w:rPr>
              <w:t>Hrvatski</w:t>
            </w:r>
            <w:proofErr w:type="spellEnd"/>
            <w:r w:rsidRPr="00CA7A6E">
              <w:rPr>
                <w:sz w:val="18"/>
              </w:rPr>
              <w:t xml:space="preserve"> </w:t>
            </w:r>
            <w:proofErr w:type="spellStart"/>
            <w:r w:rsidRPr="00CA7A6E">
              <w:rPr>
                <w:sz w:val="18"/>
              </w:rPr>
              <w:t>telekom</w:t>
            </w:r>
            <w:proofErr w:type="spellEnd"/>
            <w:r w:rsidRPr="00CA7A6E">
              <w:rPr>
                <w:sz w:val="18"/>
              </w:rPr>
              <w:t xml:space="preserve">,  Luka Rijeka, </w:t>
            </w:r>
            <w:proofErr w:type="spellStart"/>
            <w:r w:rsidRPr="00CA7A6E">
              <w:rPr>
                <w:sz w:val="18"/>
              </w:rPr>
              <w:t>Podravka</w:t>
            </w:r>
            <w:proofErr w:type="spellEnd"/>
            <w:r w:rsidRPr="00CA7A6E">
              <w:rPr>
                <w:sz w:val="18"/>
              </w:rPr>
              <w:t xml:space="preserve">, </w:t>
            </w:r>
            <w:proofErr w:type="spellStart"/>
            <w:r w:rsidRPr="00CA7A6E">
              <w:rPr>
                <w:sz w:val="18"/>
              </w:rPr>
              <w:t>Tankerska</w:t>
            </w:r>
            <w:proofErr w:type="spellEnd"/>
            <w:r w:rsidRPr="00CA7A6E">
              <w:rPr>
                <w:sz w:val="18"/>
              </w:rPr>
              <w:t xml:space="preserve"> Next Generation, </w:t>
            </w:r>
            <w:proofErr w:type="spellStart"/>
            <w:r w:rsidRPr="00CA7A6E">
              <w:rPr>
                <w:sz w:val="18"/>
              </w:rPr>
              <w:t>Valamar</w:t>
            </w:r>
            <w:proofErr w:type="spellEnd"/>
            <w:r w:rsidRPr="00CA7A6E">
              <w:rPr>
                <w:sz w:val="18"/>
              </w:rPr>
              <w:t xml:space="preserve"> Riviera</w:t>
            </w:r>
          </w:p>
        </w:tc>
      </w:tr>
    </w:tbl>
    <w:p w:rsidR="006753AB" w:rsidRPr="00E71365" w:rsidRDefault="006753AB" w:rsidP="0066336B">
      <w:pPr>
        <w:ind w:right="561"/>
        <w:rPr>
          <w:rFonts w:cs="Arial"/>
          <w:color w:val="000000"/>
        </w:rPr>
      </w:pPr>
    </w:p>
    <w:p w:rsidR="0066336B" w:rsidRPr="00E71365" w:rsidRDefault="0066336B" w:rsidP="0066336B">
      <w:pPr>
        <w:ind w:right="561"/>
        <w:rPr>
          <w:rFonts w:cs="Arial"/>
          <w:color w:val="000000"/>
        </w:rPr>
      </w:pPr>
    </w:p>
    <w:p w:rsidR="0066336B" w:rsidRPr="00E71365" w:rsidRDefault="006753AB" w:rsidP="0066336B">
      <w:pPr>
        <w:ind w:right="561"/>
        <w:rPr>
          <w:rFonts w:cs="Arial"/>
          <w:b/>
          <w:color w:val="000000"/>
        </w:rPr>
      </w:pPr>
      <w:proofErr w:type="gramStart"/>
      <w:r>
        <w:rPr>
          <w:rFonts w:cs="Arial"/>
          <w:b/>
          <w:color w:val="000000"/>
        </w:rPr>
        <w:t>Contacts</w:t>
      </w:r>
      <w:r w:rsidR="0066336B" w:rsidRPr="00E71365">
        <w:rPr>
          <w:rFonts w:cs="Arial"/>
          <w:b/>
          <w:color w:val="000000"/>
        </w:rPr>
        <w:t> :</w:t>
      </w:r>
      <w:proofErr w:type="gramEnd"/>
    </w:p>
    <w:tbl>
      <w:tblPr>
        <w:tblW w:w="0" w:type="auto"/>
        <w:jc w:val="center"/>
        <w:tblLook w:val="04A0" w:firstRow="1" w:lastRow="0" w:firstColumn="1" w:lastColumn="0" w:noHBand="0" w:noVBand="1"/>
      </w:tblPr>
      <w:tblGrid>
        <w:gridCol w:w="4323"/>
        <w:gridCol w:w="4502"/>
      </w:tblGrid>
      <w:tr w:rsidR="0066336B" w:rsidRPr="00E71365" w:rsidTr="00A67F5C">
        <w:trPr>
          <w:jc w:val="center"/>
        </w:trPr>
        <w:tc>
          <w:tcPr>
            <w:tcW w:w="4323" w:type="dxa"/>
            <w:shd w:val="clear" w:color="auto" w:fill="auto"/>
          </w:tcPr>
          <w:p w:rsidR="0066336B" w:rsidRPr="00E71365" w:rsidRDefault="0066336B" w:rsidP="00A67F5C">
            <w:pPr>
              <w:rPr>
                <w:rFonts w:cs="Arial"/>
                <w:b/>
              </w:rPr>
            </w:pPr>
            <w:r>
              <w:rPr>
                <w:noProof/>
                <w:lang w:val="sl-SI" w:eastAsia="sl-SI"/>
              </w:rPr>
              <w:lastRenderedPageBreak/>
              <w:drawing>
                <wp:anchor distT="0" distB="0" distL="114300" distR="114300" simplePos="0" relativeHeight="251659264" behindDoc="1" locked="0" layoutInCell="1" allowOverlap="1" wp14:anchorId="50D113A3" wp14:editId="7FEB22F6">
                  <wp:simplePos x="0" y="0"/>
                  <wp:positionH relativeFrom="column">
                    <wp:posOffset>703920</wp:posOffset>
                  </wp:positionH>
                  <wp:positionV relativeFrom="paragraph">
                    <wp:posOffset>104</wp:posOffset>
                  </wp:positionV>
                  <wp:extent cx="1179830" cy="1179830"/>
                  <wp:effectExtent l="0" t="0" r="1270" b="1270"/>
                  <wp:wrapTight wrapText="bothSides">
                    <wp:wrapPolygon edited="0">
                      <wp:start x="0" y="0"/>
                      <wp:lineTo x="0" y="21274"/>
                      <wp:lineTo x="21274" y="21274"/>
                      <wp:lineTo x="21274" y="0"/>
                      <wp:lineTo x="0" y="0"/>
                    </wp:wrapPolygon>
                  </wp:wrapTight>
                  <wp:docPr id="1" name="Picture 1" descr="C:\Users\metka.sipek\AppData\Local\Microsoft\Windows\INetCache\Content.Word\Zagrebacka-burza---logo-vertika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ka.sipek\AppData\Local\Microsoft\Windows\INetCache\Content.Word\Zagrebacka-burza---logo-vertikal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shd w:val="clear" w:color="auto" w:fill="auto"/>
          </w:tcPr>
          <w:p w:rsidR="0066336B" w:rsidRPr="00E71365" w:rsidRDefault="006753AB" w:rsidP="00A67F5C">
            <w:pPr>
              <w:ind w:left="317"/>
              <w:rPr>
                <w:rFonts w:cs="Arial"/>
              </w:rPr>
            </w:pPr>
            <w:r w:rsidRPr="00756DBB">
              <w:rPr>
                <w:noProof/>
                <w:lang w:val="sl-SI" w:eastAsia="sl-SI"/>
              </w:rPr>
              <w:drawing>
                <wp:anchor distT="0" distB="0" distL="114300" distR="114300" simplePos="0" relativeHeight="251661312" behindDoc="1" locked="0" layoutInCell="1" allowOverlap="1" wp14:anchorId="3C7B191A" wp14:editId="597ED136">
                  <wp:simplePos x="0" y="0"/>
                  <wp:positionH relativeFrom="page">
                    <wp:posOffset>811530</wp:posOffset>
                  </wp:positionH>
                  <wp:positionV relativeFrom="paragraph">
                    <wp:posOffset>86360</wp:posOffset>
                  </wp:positionV>
                  <wp:extent cx="1442085" cy="669290"/>
                  <wp:effectExtent l="0" t="0" r="0" b="0"/>
                  <wp:wrapTight wrapText="bothSides">
                    <wp:wrapPolygon edited="0">
                      <wp:start x="1997" y="2459"/>
                      <wp:lineTo x="2283" y="17214"/>
                      <wp:lineTo x="17120" y="18444"/>
                      <wp:lineTo x="18832" y="18444"/>
                      <wp:lineTo x="19688" y="12296"/>
                      <wp:lineTo x="17976" y="2459"/>
                      <wp:lineTo x="1997" y="2459"/>
                    </wp:wrapPolygon>
                  </wp:wrapTight>
                  <wp:docPr id="3" name="Picture 3" descr="R:\CGP\ljse CGP\2016\ZSE CGP\Logoti\Ljubljanska-borza-ENG-B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ljse CGP\2016\ZSE CGP\Logoti\Ljubljanska-borza-ENG-Bo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08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336B" w:rsidRPr="00E71365" w:rsidTr="00A67F5C">
        <w:trPr>
          <w:jc w:val="center"/>
        </w:trPr>
        <w:tc>
          <w:tcPr>
            <w:tcW w:w="4323" w:type="dxa"/>
            <w:shd w:val="clear" w:color="auto" w:fill="auto"/>
          </w:tcPr>
          <w:p w:rsidR="0066336B" w:rsidRPr="00E71365" w:rsidRDefault="0066336B" w:rsidP="00A67F5C">
            <w:pPr>
              <w:rPr>
                <w:rFonts w:cs="Arial"/>
                <w:b/>
              </w:rPr>
            </w:pPr>
          </w:p>
        </w:tc>
        <w:tc>
          <w:tcPr>
            <w:tcW w:w="4502" w:type="dxa"/>
            <w:shd w:val="clear" w:color="auto" w:fill="auto"/>
          </w:tcPr>
          <w:p w:rsidR="0066336B" w:rsidRPr="00E71365" w:rsidRDefault="0066336B" w:rsidP="0066336B">
            <w:pPr>
              <w:rPr>
                <w:rFonts w:cs="Arial"/>
              </w:rPr>
            </w:pPr>
          </w:p>
        </w:tc>
      </w:tr>
      <w:tr w:rsidR="0066336B" w:rsidRPr="00E71365" w:rsidTr="00A67F5C">
        <w:trPr>
          <w:jc w:val="center"/>
        </w:trPr>
        <w:tc>
          <w:tcPr>
            <w:tcW w:w="4323" w:type="dxa"/>
            <w:shd w:val="clear" w:color="auto" w:fill="auto"/>
          </w:tcPr>
          <w:p w:rsidR="0066336B" w:rsidRPr="00E71365" w:rsidRDefault="0066336B" w:rsidP="00A67F5C">
            <w:pPr>
              <w:jc w:val="center"/>
              <w:rPr>
                <w:rFonts w:cs="Arial"/>
              </w:rPr>
            </w:pPr>
            <w:r w:rsidRPr="00E71365">
              <w:rPr>
                <w:rFonts w:cs="Arial"/>
              </w:rPr>
              <w:t>Sanda Kuhtic Nalis</w:t>
            </w:r>
          </w:p>
          <w:p w:rsidR="0066336B" w:rsidRPr="00E71365" w:rsidRDefault="0066336B" w:rsidP="00A67F5C">
            <w:pPr>
              <w:jc w:val="center"/>
              <w:rPr>
                <w:rFonts w:cs="Arial"/>
              </w:rPr>
            </w:pPr>
            <w:r w:rsidRPr="00E71365">
              <w:rPr>
                <w:rFonts w:cs="Arial"/>
              </w:rPr>
              <w:t>Head of Corporate Communications</w:t>
            </w:r>
          </w:p>
          <w:p w:rsidR="0066336B" w:rsidRPr="00E71365" w:rsidRDefault="0066336B" w:rsidP="00A67F5C">
            <w:pPr>
              <w:jc w:val="center"/>
              <w:rPr>
                <w:rFonts w:cs="Arial"/>
              </w:rPr>
            </w:pPr>
          </w:p>
          <w:p w:rsidR="0066336B" w:rsidRPr="00E71365" w:rsidRDefault="0066336B" w:rsidP="00A67F5C">
            <w:pPr>
              <w:jc w:val="center"/>
              <w:rPr>
                <w:rFonts w:cs="Arial"/>
              </w:rPr>
            </w:pPr>
            <w:r w:rsidRPr="00E71365">
              <w:rPr>
                <w:rFonts w:cs="Arial"/>
              </w:rPr>
              <w:t xml:space="preserve">Ivana </w:t>
            </w:r>
            <w:proofErr w:type="spellStart"/>
            <w:r w:rsidRPr="00E71365">
              <w:rPr>
                <w:rFonts w:cs="Arial"/>
              </w:rPr>
              <w:t>Lucica</w:t>
            </w:r>
            <w:proofErr w:type="spellEnd"/>
            <w:r w:rsidRPr="00E71365">
              <w:rPr>
                <w:rFonts w:cs="Arial"/>
              </w:rPr>
              <w:t xml:space="preserve"> 2a | 10 000 Zagreb | Croatia</w:t>
            </w:r>
          </w:p>
          <w:p w:rsidR="0066336B" w:rsidRPr="00E71365" w:rsidRDefault="0066336B" w:rsidP="00A67F5C">
            <w:pPr>
              <w:jc w:val="center"/>
              <w:rPr>
                <w:rFonts w:cs="Arial"/>
              </w:rPr>
            </w:pPr>
            <w:r w:rsidRPr="00E71365">
              <w:rPr>
                <w:rFonts w:cs="Arial"/>
              </w:rPr>
              <w:t>sanda.kuhtic@zse.hr</w:t>
            </w:r>
          </w:p>
          <w:p w:rsidR="0066336B" w:rsidRPr="00E71365" w:rsidRDefault="0066336B" w:rsidP="00A67F5C">
            <w:pPr>
              <w:jc w:val="center"/>
              <w:rPr>
                <w:rFonts w:cs="Arial"/>
              </w:rPr>
            </w:pPr>
            <w:r w:rsidRPr="00E71365">
              <w:rPr>
                <w:rFonts w:cs="Arial"/>
              </w:rPr>
              <w:t>T +385 1 4686 804 | F +385 1 4677 680</w:t>
            </w:r>
          </w:p>
          <w:p w:rsidR="0066336B" w:rsidRPr="00E71365" w:rsidRDefault="0066336B" w:rsidP="00A67F5C">
            <w:pPr>
              <w:jc w:val="center"/>
              <w:rPr>
                <w:rFonts w:cs="Arial"/>
              </w:rPr>
            </w:pPr>
            <w:r w:rsidRPr="00E71365">
              <w:rPr>
                <w:rFonts w:cs="Arial"/>
              </w:rPr>
              <w:t>www.zse.hr</w:t>
            </w:r>
          </w:p>
          <w:p w:rsidR="0066336B" w:rsidRPr="00E71365" w:rsidRDefault="0066336B" w:rsidP="00A67F5C">
            <w:pPr>
              <w:rPr>
                <w:rFonts w:cs="Arial"/>
              </w:rPr>
            </w:pPr>
          </w:p>
        </w:tc>
        <w:tc>
          <w:tcPr>
            <w:tcW w:w="4502" w:type="dxa"/>
            <w:shd w:val="clear" w:color="auto" w:fill="auto"/>
          </w:tcPr>
          <w:p w:rsidR="0066336B" w:rsidRPr="00E71365" w:rsidRDefault="0066336B" w:rsidP="00A67F5C">
            <w:pPr>
              <w:ind w:left="317"/>
              <w:jc w:val="center"/>
              <w:rPr>
                <w:rFonts w:cs="Arial"/>
              </w:rPr>
            </w:pPr>
            <w:r w:rsidRPr="00E71365">
              <w:rPr>
                <w:rFonts w:cs="Arial"/>
              </w:rPr>
              <w:t>Metka Šipek</w:t>
            </w:r>
          </w:p>
          <w:p w:rsidR="0066336B" w:rsidRPr="00E71365" w:rsidRDefault="0066336B" w:rsidP="00A67F5C">
            <w:pPr>
              <w:ind w:left="317"/>
              <w:jc w:val="center"/>
              <w:rPr>
                <w:rFonts w:cs="Arial"/>
              </w:rPr>
            </w:pPr>
            <w:r w:rsidRPr="00E71365">
              <w:rPr>
                <w:rFonts w:cs="Arial"/>
              </w:rPr>
              <w:t>Head, Management Board Cabinet</w:t>
            </w:r>
          </w:p>
          <w:p w:rsidR="0066336B" w:rsidRPr="00E71365" w:rsidRDefault="0066336B" w:rsidP="00A67F5C">
            <w:pPr>
              <w:ind w:left="317"/>
              <w:jc w:val="center"/>
              <w:rPr>
                <w:rFonts w:cs="Arial"/>
              </w:rPr>
            </w:pPr>
          </w:p>
          <w:p w:rsidR="0066336B" w:rsidRPr="00E71365" w:rsidRDefault="0066336B" w:rsidP="00A67F5C">
            <w:pPr>
              <w:ind w:left="317"/>
              <w:jc w:val="center"/>
              <w:rPr>
                <w:rFonts w:cs="Arial"/>
              </w:rPr>
            </w:pPr>
            <w:proofErr w:type="spellStart"/>
            <w:r w:rsidRPr="00E71365">
              <w:rPr>
                <w:rFonts w:cs="Arial"/>
              </w:rPr>
              <w:t>Slovenska</w:t>
            </w:r>
            <w:proofErr w:type="spellEnd"/>
            <w:r w:rsidRPr="00E71365">
              <w:rPr>
                <w:rFonts w:cs="Arial"/>
              </w:rPr>
              <w:t xml:space="preserve"> 56 | 1000 Ljubljana | Slovenia</w:t>
            </w:r>
          </w:p>
          <w:p w:rsidR="0066336B" w:rsidRPr="00E71365" w:rsidRDefault="0066336B" w:rsidP="00A67F5C">
            <w:pPr>
              <w:ind w:left="317"/>
              <w:jc w:val="center"/>
              <w:rPr>
                <w:rFonts w:cs="Arial"/>
              </w:rPr>
            </w:pPr>
            <w:r w:rsidRPr="00E71365">
              <w:rPr>
                <w:rFonts w:cs="Arial"/>
              </w:rPr>
              <w:t>metka.sipek@ljse.si</w:t>
            </w:r>
          </w:p>
          <w:p w:rsidR="0066336B" w:rsidRPr="00E71365" w:rsidRDefault="0066336B" w:rsidP="00A67F5C">
            <w:pPr>
              <w:ind w:left="317"/>
              <w:jc w:val="center"/>
              <w:rPr>
                <w:rFonts w:cs="Arial"/>
              </w:rPr>
            </w:pPr>
            <w:r w:rsidRPr="00E71365">
              <w:rPr>
                <w:rFonts w:cs="Arial"/>
              </w:rPr>
              <w:t>T +386 1 471 02 21 | F +386 1 471 02 13</w:t>
            </w:r>
          </w:p>
          <w:p w:rsidR="0066336B" w:rsidRPr="00E71365" w:rsidRDefault="0066336B" w:rsidP="00A67F5C">
            <w:pPr>
              <w:ind w:left="317"/>
              <w:jc w:val="center"/>
              <w:rPr>
                <w:rFonts w:cs="Arial"/>
              </w:rPr>
            </w:pPr>
            <w:r w:rsidRPr="00E71365">
              <w:rPr>
                <w:rFonts w:cs="Arial"/>
              </w:rPr>
              <w:t>www.ljse.si</w:t>
            </w:r>
          </w:p>
          <w:p w:rsidR="0066336B" w:rsidRPr="00E71365" w:rsidRDefault="0066336B" w:rsidP="00A67F5C">
            <w:pPr>
              <w:ind w:left="317"/>
              <w:jc w:val="center"/>
              <w:rPr>
                <w:rFonts w:cs="Arial"/>
              </w:rPr>
            </w:pPr>
          </w:p>
        </w:tc>
      </w:tr>
    </w:tbl>
    <w:p w:rsidR="0066336B" w:rsidRDefault="0066336B" w:rsidP="0066336B">
      <w:pPr>
        <w:tabs>
          <w:tab w:val="left" w:pos="9781"/>
        </w:tabs>
        <w:ind w:right="43"/>
      </w:pPr>
    </w:p>
    <w:p w:rsidR="00D52390" w:rsidRPr="0066336B" w:rsidRDefault="00D52390" w:rsidP="0066336B"/>
    <w:sectPr w:rsidR="00D52390" w:rsidRPr="0066336B" w:rsidSect="009908FC">
      <w:headerReference w:type="default" r:id="rId12"/>
      <w:footerReference w:type="default" r:id="rId13"/>
      <w:pgSz w:w="11906" w:h="16838" w:code="9"/>
      <w:pgMar w:top="2835" w:right="737" w:bottom="1134"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D6" w:rsidRDefault="00CE74D6">
      <w:r>
        <w:separator/>
      </w:r>
    </w:p>
  </w:endnote>
  <w:endnote w:type="continuationSeparator" w:id="0">
    <w:p w:rsidR="00CE74D6" w:rsidRDefault="00CE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90" w:rsidRPr="004B4A14" w:rsidRDefault="00D52390" w:rsidP="004B4A14">
    <w:pPr>
      <w:spacing w:line="240" w:lineRule="auto"/>
      <w:jc w:val="cen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D6" w:rsidRDefault="00CE74D6">
      <w:r>
        <w:separator/>
      </w:r>
    </w:p>
  </w:footnote>
  <w:footnote w:type="continuationSeparator" w:id="0">
    <w:p w:rsidR="00CE74D6" w:rsidRDefault="00CE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90" w:rsidRDefault="003F38A6">
    <w:r w:rsidRPr="00756DBB">
      <w:rPr>
        <w:noProof/>
        <w:lang w:val="sl-SI" w:eastAsia="sl-SI"/>
      </w:rPr>
      <w:drawing>
        <wp:anchor distT="0" distB="0" distL="114300" distR="114300" simplePos="0" relativeHeight="251659264" behindDoc="1" locked="0" layoutInCell="1" allowOverlap="1" wp14:anchorId="2FC63B89" wp14:editId="37538F80">
          <wp:simplePos x="0" y="0"/>
          <wp:positionH relativeFrom="page">
            <wp:posOffset>3200400</wp:posOffset>
          </wp:positionH>
          <wp:positionV relativeFrom="paragraph">
            <wp:posOffset>-3175</wp:posOffset>
          </wp:positionV>
          <wp:extent cx="1442085" cy="669290"/>
          <wp:effectExtent l="0" t="0" r="0" b="0"/>
          <wp:wrapTight wrapText="bothSides">
            <wp:wrapPolygon edited="0">
              <wp:start x="1997" y="2459"/>
              <wp:lineTo x="2283" y="17214"/>
              <wp:lineTo x="17120" y="18444"/>
              <wp:lineTo x="18832" y="18444"/>
              <wp:lineTo x="19688" y="12296"/>
              <wp:lineTo x="17976" y="2459"/>
              <wp:lineTo x="1997" y="2459"/>
            </wp:wrapPolygon>
          </wp:wrapTight>
          <wp:docPr id="11" name="Picture 11" descr="R:\CGP\ljse CGP\2016\ZSE CGP\Logoti\Ljubljanska-borza-ENG-B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GP\ljse CGP\2016\ZSE CGP\Logoti\Ljubljanska-borza-ENG-Boj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085"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6031CC"/>
    <w:lvl w:ilvl="0">
      <w:start w:val="1"/>
      <w:numFmt w:val="bullet"/>
      <w:lvlText w:val=""/>
      <w:lvlJc w:val="left"/>
      <w:pPr>
        <w:tabs>
          <w:tab w:val="num" w:pos="360"/>
        </w:tabs>
        <w:ind w:left="360" w:hanging="360"/>
      </w:pPr>
      <w:rPr>
        <w:rFonts w:ascii="Symbol" w:hAnsi="Symbol" w:hint="default"/>
      </w:rPr>
    </w:lvl>
  </w:abstractNum>
  <w:abstractNum w:abstractNumId="1">
    <w:nsid w:val="05AE14AD"/>
    <w:multiLevelType w:val="hybridMultilevel"/>
    <w:tmpl w:val="D7F67C3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131662"/>
    <w:multiLevelType w:val="multilevel"/>
    <w:tmpl w:val="E1948BBA"/>
    <w:lvl w:ilvl="0">
      <w:start w:val="1"/>
      <w:numFmt w:val="bullet"/>
      <w:lvlText w:val=""/>
      <w:lvlJc w:val="left"/>
      <w:pPr>
        <w:tabs>
          <w:tab w:val="num" w:pos="357"/>
        </w:tabs>
        <w:ind w:left="360" w:hanging="360"/>
      </w:pPr>
      <w:rPr>
        <w:rFonts w:ascii="Wingdings" w:hAnsi="Wingdings" w:hint="default"/>
        <w:color w:val="F6A800"/>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77"/>
        </w:tabs>
        <w:ind w:left="1080" w:hanging="360"/>
      </w:pPr>
      <w:rPr>
        <w:rFonts w:ascii="Wingdings" w:hAnsi="Wingdings" w:hint="default"/>
        <w:color w:val="7F7F7F"/>
      </w:rPr>
    </w:lvl>
    <w:lvl w:ilvl="3">
      <w:start w:val="1"/>
      <w:numFmt w:val="bullet"/>
      <w:lvlText w:val=""/>
      <w:lvlJc w:val="left"/>
      <w:pPr>
        <w:tabs>
          <w:tab w:val="num" w:pos="1440"/>
        </w:tabs>
        <w:ind w:left="1435" w:hanging="355"/>
      </w:pPr>
      <w:rPr>
        <w:rFonts w:ascii="Wingdings" w:hAnsi="Wingdings" w:hint="default"/>
        <w:color w:val="0096D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4063629E"/>
    <w:multiLevelType w:val="hybridMultilevel"/>
    <w:tmpl w:val="03006260"/>
    <w:lvl w:ilvl="0" w:tplc="207694DC">
      <w:start w:val="1"/>
      <w:numFmt w:val="bullet"/>
      <w:lvlText w:val=""/>
      <w:lvlJc w:val="left"/>
      <w:pPr>
        <w:tabs>
          <w:tab w:val="num" w:pos="786"/>
        </w:tabs>
        <w:ind w:left="78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971465"/>
    <w:multiLevelType w:val="hybridMultilevel"/>
    <w:tmpl w:val="4DBE0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2147091"/>
    <w:multiLevelType w:val="hybridMultilevel"/>
    <w:tmpl w:val="6E868E10"/>
    <w:lvl w:ilvl="0" w:tplc="207694DC">
      <w:start w:val="1"/>
      <w:numFmt w:val="bullet"/>
      <w:lvlText w:val=""/>
      <w:lvlJc w:val="left"/>
      <w:pPr>
        <w:tabs>
          <w:tab w:val="num" w:pos="786"/>
        </w:tabs>
        <w:ind w:left="78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341FD2"/>
    <w:multiLevelType w:val="multilevel"/>
    <w:tmpl w:val="215295E8"/>
    <w:lvl w:ilvl="0">
      <w:start w:val="1"/>
      <w:numFmt w:val="bullet"/>
      <w:pStyle w:val="ListBullet"/>
      <w:lvlText w:val=""/>
      <w:lvlJc w:val="left"/>
      <w:pPr>
        <w:tabs>
          <w:tab w:val="num" w:pos="357"/>
        </w:tabs>
        <w:ind w:left="360" w:hanging="360"/>
      </w:pPr>
      <w:rPr>
        <w:rFonts w:ascii="Wingdings" w:hAnsi="Wingdings" w:hint="default"/>
        <w:color w:val="F6A800"/>
        <w:sz w:val="16"/>
      </w:rPr>
    </w:lvl>
    <w:lvl w:ilvl="1">
      <w:start w:val="1"/>
      <w:numFmt w:val="bullet"/>
      <w:lvlText w:val=""/>
      <w:lvlJc w:val="left"/>
      <w:pPr>
        <w:tabs>
          <w:tab w:val="num" w:pos="720"/>
        </w:tabs>
        <w:ind w:left="720" w:hanging="360"/>
      </w:pPr>
      <w:rPr>
        <w:rFonts w:ascii="Wingdings" w:hAnsi="Wingdings" w:hint="default"/>
        <w:color w:val="7F7F7F" w:themeColor="text1" w:themeTint="80"/>
        <w:sz w:val="16"/>
      </w:rPr>
    </w:lvl>
    <w:lvl w:ilvl="2">
      <w:start w:val="1"/>
      <w:numFmt w:val="bullet"/>
      <w:lvlText w:val=""/>
      <w:lvlJc w:val="left"/>
      <w:pPr>
        <w:tabs>
          <w:tab w:val="num" w:pos="1077"/>
        </w:tabs>
        <w:ind w:left="1080" w:hanging="360"/>
      </w:pPr>
      <w:rPr>
        <w:rFonts w:ascii="Wingdings" w:hAnsi="Wingdings" w:hint="default"/>
        <w:color w:val="auto"/>
        <w:sz w:val="22"/>
      </w:rPr>
    </w:lvl>
    <w:lvl w:ilvl="3">
      <w:start w:val="1"/>
      <w:numFmt w:val="bullet"/>
      <w:lvlText w:val=""/>
      <w:lvlJc w:val="left"/>
      <w:pPr>
        <w:tabs>
          <w:tab w:val="num" w:pos="1435"/>
        </w:tabs>
        <w:ind w:left="1435" w:hanging="355"/>
      </w:pPr>
      <w:rPr>
        <w:rFonts w:ascii="Wingdings" w:hAnsi="Wingdings" w:hint="default"/>
        <w:color w:val="0096D2"/>
        <w:sz w:val="1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C6D369A"/>
    <w:multiLevelType w:val="hybridMultilevel"/>
    <w:tmpl w:val="E76A50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C1"/>
    <w:rsid w:val="000136D4"/>
    <w:rsid w:val="0002591C"/>
    <w:rsid w:val="000424F7"/>
    <w:rsid w:val="000B384A"/>
    <w:rsid w:val="000C78F6"/>
    <w:rsid w:val="000F7D1F"/>
    <w:rsid w:val="00103CF5"/>
    <w:rsid w:val="0011587A"/>
    <w:rsid w:val="0023298C"/>
    <w:rsid w:val="00272A26"/>
    <w:rsid w:val="00290F0B"/>
    <w:rsid w:val="002B7D6A"/>
    <w:rsid w:val="002C3E00"/>
    <w:rsid w:val="002C5640"/>
    <w:rsid w:val="00305DE1"/>
    <w:rsid w:val="0032398D"/>
    <w:rsid w:val="003827CB"/>
    <w:rsid w:val="00385ED8"/>
    <w:rsid w:val="00396DDD"/>
    <w:rsid w:val="003E5DC1"/>
    <w:rsid w:val="003F38A6"/>
    <w:rsid w:val="00420BC5"/>
    <w:rsid w:val="00440F9E"/>
    <w:rsid w:val="00490598"/>
    <w:rsid w:val="004943B2"/>
    <w:rsid w:val="00494603"/>
    <w:rsid w:val="0049481E"/>
    <w:rsid w:val="004B182F"/>
    <w:rsid w:val="004B1B46"/>
    <w:rsid w:val="004B4A14"/>
    <w:rsid w:val="004E541D"/>
    <w:rsid w:val="004E6322"/>
    <w:rsid w:val="004F40AE"/>
    <w:rsid w:val="00513159"/>
    <w:rsid w:val="00554AC5"/>
    <w:rsid w:val="00556A0E"/>
    <w:rsid w:val="00577815"/>
    <w:rsid w:val="005E4DC3"/>
    <w:rsid w:val="005F43E8"/>
    <w:rsid w:val="006008B4"/>
    <w:rsid w:val="006258C5"/>
    <w:rsid w:val="006316F0"/>
    <w:rsid w:val="00652B7B"/>
    <w:rsid w:val="0066336B"/>
    <w:rsid w:val="006753AB"/>
    <w:rsid w:val="006D0B60"/>
    <w:rsid w:val="006F0D13"/>
    <w:rsid w:val="00727303"/>
    <w:rsid w:val="00730273"/>
    <w:rsid w:val="00732EFB"/>
    <w:rsid w:val="00757F5C"/>
    <w:rsid w:val="007A5C3F"/>
    <w:rsid w:val="00802790"/>
    <w:rsid w:val="00816CD0"/>
    <w:rsid w:val="0088062E"/>
    <w:rsid w:val="00892D39"/>
    <w:rsid w:val="008A3460"/>
    <w:rsid w:val="008A6D18"/>
    <w:rsid w:val="008B16FA"/>
    <w:rsid w:val="008C00BB"/>
    <w:rsid w:val="009179A5"/>
    <w:rsid w:val="00932AB6"/>
    <w:rsid w:val="0094270B"/>
    <w:rsid w:val="00971786"/>
    <w:rsid w:val="009908FC"/>
    <w:rsid w:val="00996847"/>
    <w:rsid w:val="009A7CC5"/>
    <w:rsid w:val="009C02C2"/>
    <w:rsid w:val="009E4767"/>
    <w:rsid w:val="009E6CFE"/>
    <w:rsid w:val="00A03695"/>
    <w:rsid w:val="00A115B3"/>
    <w:rsid w:val="00A14C17"/>
    <w:rsid w:val="00A24FCB"/>
    <w:rsid w:val="00A26CE3"/>
    <w:rsid w:val="00A36490"/>
    <w:rsid w:val="00A97C90"/>
    <w:rsid w:val="00AE5F15"/>
    <w:rsid w:val="00AF1606"/>
    <w:rsid w:val="00B657A2"/>
    <w:rsid w:val="00B860DE"/>
    <w:rsid w:val="00BA4EEC"/>
    <w:rsid w:val="00BD27E1"/>
    <w:rsid w:val="00C3211C"/>
    <w:rsid w:val="00C72807"/>
    <w:rsid w:val="00CA0F08"/>
    <w:rsid w:val="00CE74D6"/>
    <w:rsid w:val="00D43652"/>
    <w:rsid w:val="00D52390"/>
    <w:rsid w:val="00D5686D"/>
    <w:rsid w:val="00D95373"/>
    <w:rsid w:val="00DC4B96"/>
    <w:rsid w:val="00DC67F0"/>
    <w:rsid w:val="00DD674D"/>
    <w:rsid w:val="00E017DE"/>
    <w:rsid w:val="00E03776"/>
    <w:rsid w:val="00E05511"/>
    <w:rsid w:val="00E17119"/>
    <w:rsid w:val="00E22ADF"/>
    <w:rsid w:val="00E253F1"/>
    <w:rsid w:val="00E72E5E"/>
    <w:rsid w:val="00E75CC1"/>
    <w:rsid w:val="00EA7202"/>
    <w:rsid w:val="00EC5320"/>
    <w:rsid w:val="00EF0A29"/>
    <w:rsid w:val="00F461DD"/>
    <w:rsid w:val="00F544E2"/>
    <w:rsid w:val="00F61F08"/>
    <w:rsid w:val="00F903F0"/>
    <w:rsid w:val="00F914DC"/>
    <w:rsid w:val="00F955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C47BD4-4239-4785-B786-D1DD086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6"/>
    <w:pPr>
      <w:spacing w:line="280" w:lineRule="atLeast"/>
    </w:pPr>
    <w:rPr>
      <w:rFonts w:ascii="Arial" w:hAnsi="Arial"/>
      <w:lang w:val="en-US" w:eastAsia="de-DE"/>
    </w:rPr>
  </w:style>
  <w:style w:type="paragraph" w:styleId="Heading1">
    <w:name w:val="heading 1"/>
    <w:basedOn w:val="Normal"/>
    <w:next w:val="Normal"/>
    <w:link w:val="Heading1Char"/>
    <w:rsid w:val="003E5DC1"/>
    <w:pPr>
      <w:keepNext/>
      <w:spacing w:after="200"/>
      <w:jc w:val="both"/>
      <w:outlineLvl w:val="0"/>
    </w:pPr>
    <w:rPr>
      <w:b/>
      <w:color w:val="000000" w:themeColor="text1"/>
      <w:kern w:val="32"/>
      <w:sz w:val="32"/>
      <w:szCs w:val="32"/>
      <w:lang w:val="sl-SI" w:eastAsia="de-AT"/>
    </w:rPr>
  </w:style>
  <w:style w:type="paragraph" w:styleId="Heading2">
    <w:name w:val="heading 2"/>
    <w:basedOn w:val="Normal"/>
    <w:next w:val="Normal"/>
    <w:link w:val="Heading2Char"/>
    <w:locked/>
    <w:rsid w:val="004E6322"/>
    <w:pPr>
      <w:keepNext/>
      <w:spacing w:after="280"/>
      <w:jc w:val="both"/>
      <w:outlineLvl w:val="1"/>
    </w:pPr>
    <w:rPr>
      <w:b/>
      <w:sz w:val="28"/>
      <w:szCs w:val="28"/>
      <w:lang w:val="sl-SI" w:eastAsia="de-AT"/>
    </w:rPr>
  </w:style>
  <w:style w:type="paragraph" w:styleId="Heading3">
    <w:name w:val="heading 3"/>
    <w:basedOn w:val="Normal"/>
    <w:next w:val="Normal"/>
    <w:link w:val="Heading3Char"/>
    <w:locked/>
    <w:rsid w:val="004E6322"/>
    <w:pPr>
      <w:keepNext/>
      <w:spacing w:after="240"/>
      <w:jc w:val="both"/>
      <w:outlineLvl w:val="2"/>
    </w:pPr>
    <w:rPr>
      <w:b/>
      <w:sz w:val="24"/>
      <w:szCs w:val="26"/>
      <w:lang w:val="sl-SI" w:eastAsia="de-A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5DC1"/>
    <w:rPr>
      <w:rFonts w:ascii="Arial" w:hAnsi="Arial"/>
      <w:b/>
      <w:color w:val="000000" w:themeColor="text1"/>
      <w:kern w:val="32"/>
      <w:sz w:val="32"/>
      <w:szCs w:val="32"/>
      <w:lang w:eastAsia="de-AT"/>
    </w:rPr>
  </w:style>
  <w:style w:type="paragraph" w:styleId="Footer">
    <w:name w:val="footer"/>
    <w:basedOn w:val="Normal"/>
    <w:link w:val="FooterChar"/>
    <w:semiHidden/>
    <w:rsid w:val="00513159"/>
    <w:pPr>
      <w:tabs>
        <w:tab w:val="center" w:pos="4536"/>
        <w:tab w:val="right" w:pos="9072"/>
      </w:tabs>
    </w:pPr>
  </w:style>
  <w:style w:type="character" w:customStyle="1" w:styleId="FooterChar">
    <w:name w:val="Footer Char"/>
    <w:basedOn w:val="DefaultParagraphFont"/>
    <w:link w:val="Footer"/>
    <w:semiHidden/>
    <w:locked/>
    <w:rsid w:val="003827CB"/>
    <w:rPr>
      <w:rFonts w:ascii="Arial" w:hAnsi="Arial" w:cs="Times New Roman"/>
      <w:sz w:val="20"/>
      <w:szCs w:val="20"/>
      <w:lang w:val="de-DE" w:eastAsia="de-DE"/>
    </w:rPr>
  </w:style>
  <w:style w:type="table" w:styleId="TableGrid">
    <w:name w:val="Table Grid"/>
    <w:basedOn w:val="TableNormal"/>
    <w:rsid w:val="00440F9E"/>
    <w:rPr>
      <w:rFonts w:ascii="Times" w:hAnsi="Time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40F9E"/>
    <w:rPr>
      <w:rFonts w:ascii="Tahoma" w:hAnsi="Tahoma" w:cs="Tahoma"/>
      <w:sz w:val="16"/>
      <w:szCs w:val="16"/>
    </w:rPr>
  </w:style>
  <w:style w:type="character" w:customStyle="1" w:styleId="BalloonTextChar">
    <w:name w:val="Balloon Text Char"/>
    <w:basedOn w:val="DefaultParagraphFont"/>
    <w:link w:val="BalloonText"/>
    <w:semiHidden/>
    <w:locked/>
    <w:rsid w:val="003827CB"/>
    <w:rPr>
      <w:rFonts w:cs="Times New Roman"/>
      <w:sz w:val="2"/>
      <w:lang w:val="de-DE" w:eastAsia="de-DE"/>
    </w:rPr>
  </w:style>
  <w:style w:type="character" w:styleId="Hyperlink">
    <w:name w:val="Hyperlink"/>
    <w:basedOn w:val="DefaultParagraphFont"/>
    <w:rsid w:val="00440F9E"/>
    <w:rPr>
      <w:rFonts w:cs="Times New Roman"/>
      <w:color w:val="0000FF"/>
      <w:u w:val="single"/>
    </w:rPr>
  </w:style>
  <w:style w:type="character" w:styleId="PlaceholderText">
    <w:name w:val="Placeholder Text"/>
    <w:basedOn w:val="DefaultParagraphFont"/>
    <w:uiPriority w:val="99"/>
    <w:semiHidden/>
    <w:rsid w:val="006D0B60"/>
    <w:rPr>
      <w:color w:val="808080"/>
    </w:rPr>
  </w:style>
  <w:style w:type="paragraph" w:customStyle="1" w:styleId="Subject">
    <w:name w:val="Subject"/>
    <w:basedOn w:val="Heading1"/>
    <w:link w:val="SubjectChar"/>
    <w:rsid w:val="00E03776"/>
    <w:rPr>
      <w:sz w:val="24"/>
    </w:rPr>
  </w:style>
  <w:style w:type="paragraph" w:customStyle="1" w:styleId="Style1">
    <w:name w:val="Style1"/>
    <w:basedOn w:val="Subject"/>
    <w:next w:val="Normal"/>
    <w:link w:val="Style1Char"/>
    <w:rsid w:val="00E03776"/>
  </w:style>
  <w:style w:type="paragraph" w:customStyle="1" w:styleId="Style2">
    <w:name w:val="Style2"/>
    <w:basedOn w:val="Normal"/>
    <w:next w:val="Normal"/>
    <w:link w:val="Style2Char"/>
    <w:rsid w:val="00E03776"/>
  </w:style>
  <w:style w:type="character" w:customStyle="1" w:styleId="SubjectChar">
    <w:name w:val="Subject Char"/>
    <w:basedOn w:val="Heading1Char"/>
    <w:link w:val="Subject"/>
    <w:rsid w:val="00E03776"/>
    <w:rPr>
      <w:rFonts w:ascii="Arial" w:hAnsi="Arial" w:cs="Times New Roman"/>
      <w:b/>
      <w:bCs/>
      <w:color w:val="D10019"/>
      <w:kern w:val="32"/>
      <w:sz w:val="24"/>
      <w:szCs w:val="32"/>
      <w:lang w:val="en-US" w:eastAsia="en-US"/>
    </w:rPr>
  </w:style>
  <w:style w:type="character" w:customStyle="1" w:styleId="Style1Char">
    <w:name w:val="Style1 Char"/>
    <w:basedOn w:val="SubjectChar"/>
    <w:link w:val="Style1"/>
    <w:rsid w:val="00E03776"/>
    <w:rPr>
      <w:rFonts w:ascii="Arial" w:hAnsi="Arial" w:cs="Times New Roman"/>
      <w:b/>
      <w:bCs/>
      <w:color w:val="D10019"/>
      <w:kern w:val="32"/>
      <w:sz w:val="24"/>
      <w:szCs w:val="32"/>
      <w:lang w:val="en-US" w:eastAsia="en-US"/>
    </w:rPr>
  </w:style>
  <w:style w:type="character" w:customStyle="1" w:styleId="Style2Char">
    <w:name w:val="Style2 Char"/>
    <w:basedOn w:val="DefaultParagraphFont"/>
    <w:link w:val="Style2"/>
    <w:rsid w:val="00E03776"/>
    <w:rPr>
      <w:rFonts w:ascii="Arial" w:hAnsi="Arial"/>
      <w:lang w:val="en-US" w:eastAsia="de-DE"/>
    </w:rPr>
  </w:style>
  <w:style w:type="paragraph" w:styleId="Header">
    <w:name w:val="header"/>
    <w:basedOn w:val="Normal"/>
    <w:link w:val="HeaderChar"/>
    <w:unhideWhenUsed/>
    <w:rsid w:val="004B4A14"/>
    <w:pPr>
      <w:tabs>
        <w:tab w:val="center" w:pos="4536"/>
        <w:tab w:val="right" w:pos="9072"/>
      </w:tabs>
      <w:spacing w:line="240" w:lineRule="auto"/>
    </w:pPr>
  </w:style>
  <w:style w:type="character" w:customStyle="1" w:styleId="HeaderChar">
    <w:name w:val="Header Char"/>
    <w:basedOn w:val="DefaultParagraphFont"/>
    <w:link w:val="Header"/>
    <w:rsid w:val="004B4A14"/>
    <w:rPr>
      <w:rFonts w:ascii="Arial" w:hAnsi="Arial"/>
      <w:lang w:val="en-US" w:eastAsia="de-DE"/>
    </w:rPr>
  </w:style>
  <w:style w:type="table" w:customStyle="1" w:styleId="Borza1">
    <w:name w:val="Borza 1"/>
    <w:basedOn w:val="TableNormal"/>
    <w:uiPriority w:val="99"/>
    <w:rsid w:val="004E6322"/>
    <w:pPr>
      <w:spacing w:before="80" w:after="80"/>
      <w:jc w:val="center"/>
    </w:pPr>
    <w:rPr>
      <w:rFonts w:ascii="Arial" w:eastAsiaTheme="minorEastAsia" w:hAnsi="Arial" w:cstheme="minorBidi"/>
      <w:color w:val="000000" w:themeColor="text1"/>
      <w:szCs w:val="22"/>
      <w:lang w:eastAsia="en-US"/>
    </w:r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shd w:val="clear" w:color="auto" w:fill="585858"/>
      </w:tcPr>
    </w:tblStylePr>
    <w:tblStylePr w:type="firstCol">
      <w:pPr>
        <w:jc w:val="right"/>
      </w:pPr>
      <w:rPr>
        <w:rFonts w:ascii="Arial" w:hAnsi="Arial"/>
        <w:color w:val="000000" w:themeColor="text1"/>
        <w:sz w:val="20"/>
      </w:rPr>
      <w:tblPr/>
      <w:tcPr>
        <w:tcBorders>
          <w:top w:val="nil"/>
          <w:left w:val="nil"/>
          <w:bottom w:val="nil"/>
          <w:right w:val="nil"/>
          <w:insideH w:val="nil"/>
          <w:insideV w:val="nil"/>
          <w:tl2br w:val="nil"/>
          <w:tr2bl w:val="nil"/>
        </w:tcBorders>
        <w:shd w:val="clear" w:color="auto" w:fill="FF9614"/>
      </w:tcPr>
    </w:tblStylePr>
    <w:tblStylePr w:type="lastCol">
      <w:rPr>
        <w:rFonts w:ascii="Arial" w:hAnsi="Arial"/>
        <w:b/>
        <w:color w:val="FFFFFF" w:themeColor="background1"/>
        <w:sz w:val="20"/>
      </w:rPr>
      <w:tblPr/>
      <w:tcPr>
        <w:shd w:val="clear" w:color="auto" w:fill="585858"/>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shd w:val="clear" w:color="auto" w:fill="FFFFFF" w:themeFill="background1"/>
      </w:tcPr>
    </w:tblStylePr>
  </w:style>
  <w:style w:type="table" w:customStyle="1" w:styleId="Borza1Obratno">
    <w:name w:val="Borza 1 Obratno"/>
    <w:basedOn w:val="Borza1"/>
    <w:uiPriority w:val="99"/>
    <w:rsid w:val="004E6322"/>
    <w:pPr>
      <w:spacing w:after="0"/>
    </w:p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FFFFFF" w:themeColor="background1"/>
        <w:sz w:val="20"/>
        <w:u w:val="none"/>
      </w:rPr>
      <w:tblPr/>
      <w:tcPr>
        <w:shd w:val="clear" w:color="auto" w:fill="585858"/>
      </w:tcPr>
    </w:tblStylePr>
    <w:tblStylePr w:type="lastRow">
      <w:rPr>
        <w:rFonts w:ascii="Arial" w:hAnsi="Arial"/>
        <w:b/>
        <w:color w:val="000000" w:themeColor="text1"/>
      </w:rPr>
      <w:tblPr/>
      <w:tcPr>
        <w:shd w:val="clear" w:color="auto" w:fill="FF9614"/>
      </w:tcPr>
    </w:tblStylePr>
    <w:tblStylePr w:type="firstCol">
      <w:pPr>
        <w:jc w:val="right"/>
      </w:pPr>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585858"/>
      </w:tcPr>
    </w:tblStylePr>
    <w:tblStylePr w:type="lastCol">
      <w:rPr>
        <w:rFonts w:ascii="Arial" w:hAnsi="Arial"/>
        <w:b/>
        <w:color w:val="000000" w:themeColor="text1"/>
        <w:sz w:val="20"/>
      </w:rPr>
      <w:tblPr/>
      <w:tcPr>
        <w:shd w:val="clear" w:color="auto" w:fill="FF9614"/>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shd w:val="clear" w:color="auto" w:fill="FFFFFF" w:themeFill="background1"/>
      </w:tcPr>
    </w:tblStylePr>
  </w:style>
  <w:style w:type="table" w:customStyle="1" w:styleId="Borza1Robovi">
    <w:name w:val="Borza 1 Robovi"/>
    <w:basedOn w:val="Borza1"/>
    <w:uiPriority w:val="99"/>
    <w:rsid w:val="004E632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lastRow">
      <w:rPr>
        <w:rFonts w:ascii="Arial" w:hAnsi="Arial"/>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firstCol">
      <w:pPr>
        <w:jc w:val="right"/>
      </w:pPr>
      <w:rPr>
        <w:rFonts w:ascii="Arial" w:hAnsi="Arial"/>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lastCol">
      <w:rPr>
        <w:rFonts w:ascii="Arial" w:hAnsi="Arial"/>
        <w:b/>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Borza1RoboviObratno">
    <w:name w:val="Borza 1 Robovi Obratno"/>
    <w:basedOn w:val="Borza1Robovi"/>
    <w:uiPriority w:val="99"/>
    <w:rsid w:val="004E632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FFFFFF" w:themeColor="background1"/>
        <w:sz w:val="20"/>
        <w:u w:val="none"/>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lastRow">
      <w:rPr>
        <w:rFonts w:ascii="Arial" w:hAnsi="Arial"/>
        <w:b/>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firstCol">
      <w:pPr>
        <w:jc w:val="right"/>
      </w:pPr>
      <w:rPr>
        <w:rFonts w:ascii="Arial" w:hAnsi="Arial"/>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585858"/>
      </w:tcPr>
    </w:tblStylePr>
    <w:tblStylePr w:type="lastCol">
      <w:rPr>
        <w:rFonts w:ascii="Arial" w:hAnsi="Arial"/>
        <w:b/>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Borzarna">
    <w:name w:val="Borza Črna"/>
    <w:basedOn w:val="Borza1"/>
    <w:uiPriority w:val="99"/>
    <w:rsid w:val="004E6322"/>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shd w:val="clear" w:color="auto" w:fill="000000" w:themeFill="text1"/>
      </w:tcPr>
    </w:tblStylePr>
    <w:tblStylePr w:type="firstCol">
      <w:pPr>
        <w:jc w:val="right"/>
      </w:pPr>
      <w:rPr>
        <w:rFonts w:ascii="Arial" w:hAnsi="Arial"/>
        <w:color w:val="000000" w:themeColor="text1"/>
        <w:sz w:val="20"/>
      </w:rPr>
      <w:tblPr/>
      <w:tcPr>
        <w:tcBorders>
          <w:top w:val="nil"/>
          <w:left w:val="nil"/>
          <w:bottom w:val="nil"/>
          <w:right w:val="nil"/>
          <w:insideH w:val="nil"/>
          <w:insideV w:val="nil"/>
          <w:tl2br w:val="nil"/>
          <w:tr2bl w:val="nil"/>
        </w:tcBorders>
        <w:shd w:val="clear" w:color="auto" w:fill="FF9614"/>
      </w:tcPr>
    </w:tblStylePr>
    <w:tblStylePr w:type="lastCol">
      <w:rPr>
        <w:rFonts w:ascii="Arial" w:hAnsi="Arial"/>
        <w:b/>
        <w:color w:val="FFFFFF" w:themeColor="background1"/>
        <w:sz w:val="20"/>
      </w:rPr>
      <w:tblPr/>
      <w:tcPr>
        <w:shd w:val="clear" w:color="auto" w:fill="000000" w:themeFill="text1"/>
      </w:tcPr>
    </w:tblStylePr>
    <w:tblStylePr w:type="band1Vert">
      <w:tblPr/>
      <w:tcPr>
        <w:shd w:val="clear" w:color="auto" w:fill="D9D9D9"/>
      </w:tcPr>
    </w:tblStylePr>
    <w:tblStylePr w:type="band2Vert">
      <w:tblPr/>
      <w:tcPr>
        <w:shd w:val="clear" w:color="auto" w:fill="C7C7C7"/>
      </w:tcPr>
    </w:tblStylePr>
    <w:tblStylePr w:type="band1Horz">
      <w:tblPr/>
      <w:tcPr>
        <w:shd w:val="clear" w:color="auto" w:fill="D9D9D9"/>
      </w:tcPr>
    </w:tblStylePr>
    <w:tblStylePr w:type="band2Horz">
      <w:tblPr/>
      <w:tcPr>
        <w:shd w:val="clear" w:color="auto" w:fill="C7C7C7"/>
      </w:tcPr>
    </w:tblStylePr>
    <w:tblStylePr w:type="nwCell">
      <w:tblPr/>
      <w:tcPr>
        <w:shd w:val="clear" w:color="auto" w:fill="FFFFFF" w:themeFill="background1"/>
      </w:tcPr>
    </w:tblStylePr>
  </w:style>
  <w:style w:type="table" w:customStyle="1" w:styleId="BorzarnaRobovi">
    <w:name w:val="Borza Črna Robovi"/>
    <w:basedOn w:val="Borzarna"/>
    <w:uiPriority w:val="99"/>
    <w:rsid w:val="004E632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0000" w:themeFill="text1"/>
      </w:tcPr>
    </w:tblStylePr>
    <w:tblStylePr w:type="firstCol">
      <w:pPr>
        <w:jc w:val="right"/>
      </w:pPr>
      <w:rPr>
        <w:rFonts w:ascii="Arial" w:hAnsi="Arial"/>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lastCol">
      <w:rPr>
        <w:rFonts w:ascii="Arial" w:hAnsi="Arial"/>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band1Vert">
      <w:tblPr/>
      <w:tcPr>
        <w:shd w:val="clear" w:color="auto" w:fill="D9D9D9"/>
      </w:tcPr>
    </w:tblStylePr>
    <w:tblStylePr w:type="band2Vert">
      <w:tblPr/>
      <w:tcPr>
        <w:shd w:val="clear" w:color="auto" w:fill="C7C7C7"/>
      </w:tcPr>
    </w:tblStylePr>
    <w:tblStylePr w:type="band1Horz">
      <w:tblPr/>
      <w:tcPr>
        <w:shd w:val="clear" w:color="auto" w:fill="D9D9D9"/>
      </w:tcPr>
    </w:tblStylePr>
    <w:tblStylePr w:type="band2Horz">
      <w:tblPr/>
      <w:tcPr>
        <w:shd w:val="clear" w:color="auto" w:fill="C7C7C7"/>
      </w:tcPr>
    </w:tblStylePr>
    <w:tblStylePr w:type="neCell">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614"/>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tblPr/>
      <w:tcPr>
        <w:tcBorders>
          <w:top w:val="nil"/>
          <w:left w:val="single" w:sz="4" w:space="0" w:color="000000" w:themeColor="text1"/>
          <w:bottom w:val="nil"/>
          <w:right w:val="nil"/>
          <w:insideH w:val="nil"/>
          <w:insideV w:val="nil"/>
          <w:tl2br w:val="nil"/>
          <w:tr2bl w:val="nil"/>
        </w:tcBorders>
        <w:shd w:val="clear" w:color="auto" w:fill="000000" w:themeFill="text1"/>
      </w:tcPr>
    </w:tblStylePr>
  </w:style>
  <w:style w:type="table" w:customStyle="1" w:styleId="BorzaOranenSum">
    <w:name w:val="Borza Oranžen Sum"/>
    <w:basedOn w:val="TableNormal"/>
    <w:uiPriority w:val="99"/>
    <w:rsid w:val="004E6322"/>
    <w:pPr>
      <w:spacing w:before="80" w:after="80"/>
      <w:jc w:val="center"/>
    </w:pPr>
    <w:rPr>
      <w:rFonts w:ascii="Arial" w:eastAsiaTheme="minorHAnsi" w:hAnsi="Arial" w:cstheme="minorBidi"/>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rPr>
        <w:color w:val="FFFFFF" w:themeColor="background1"/>
      </w:rPr>
      <w:tblPr/>
      <w:tcPr>
        <w:shd w:val="clear" w:color="auto" w:fill="585858"/>
      </w:tcPr>
    </w:tblStylePr>
    <w:tblStylePr w:type="lastRow">
      <w:tblPr/>
      <w:tcPr>
        <w:tcBorders>
          <w:top w:val="nil"/>
          <w:left w:val="nil"/>
          <w:bottom w:val="single" w:sz="4" w:space="0" w:color="000000" w:themeColor="text1"/>
          <w:right w:val="nil"/>
          <w:insideH w:val="nil"/>
          <w:insideV w:val="nil"/>
          <w:tl2br w:val="nil"/>
          <w:tr2bl w:val="nil"/>
        </w:tcBorders>
        <w:shd w:val="clear" w:color="auto" w:fill="FF9614"/>
      </w:tcPr>
    </w:tblStylePr>
    <w:tblStylePr w:type="firstCol">
      <w:pPr>
        <w:jc w:val="right"/>
      </w:pPr>
      <w:rPr>
        <w:color w:val="FFFFFF" w:themeColor="background1"/>
      </w:rPr>
      <w:tblPr/>
      <w:tcPr>
        <w:shd w:val="clear" w:color="auto" w:fill="585858"/>
        <w:vAlign w:val="top"/>
      </w:tcPr>
    </w:tblStylePr>
    <w:tblStylePr w:type="lastCol">
      <w:tblPr/>
      <w:tcPr>
        <w:shd w:val="clear" w:color="auto" w:fill="DDF5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000000" w:themeColor="text1"/>
      </w:rPr>
    </w:tblStylePr>
  </w:style>
  <w:style w:type="table" w:customStyle="1" w:styleId="BorzaOranenSumRobovi">
    <w:name w:val="Borza Oranžen Sum Robovi"/>
    <w:basedOn w:val="BorzaOranenSum"/>
    <w:uiPriority w:val="99"/>
    <w:rsid w:val="004E6322"/>
    <w:tblPr>
      <w:tblStyleRowBandSize w:val="1"/>
      <w:tblStyleColBandSize w:val="1"/>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tcPr>
      <w:shd w:val="clear" w:color="auto" w:fill="auto"/>
      <w:vAlign w:val="center"/>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la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firstCol">
      <w:pPr>
        <w:jc w:val="right"/>
      </w:pPr>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vAlign w:val="top"/>
      </w:tcPr>
    </w:tblStylePr>
    <w:tblStylePr w:type="lastCol">
      <w:tblPr/>
      <w:tcPr>
        <w:shd w:val="clear" w:color="auto" w:fill="DDF5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000000" w:themeColor="text1"/>
      </w:rPr>
    </w:tblStylePr>
  </w:style>
  <w:style w:type="character" w:customStyle="1" w:styleId="Heading2Char">
    <w:name w:val="Heading 2 Char"/>
    <w:basedOn w:val="DefaultParagraphFont"/>
    <w:link w:val="Heading2"/>
    <w:rsid w:val="004E6322"/>
    <w:rPr>
      <w:rFonts w:ascii="Arial" w:hAnsi="Arial"/>
      <w:b/>
      <w:sz w:val="28"/>
      <w:szCs w:val="28"/>
      <w:lang w:eastAsia="de-AT"/>
    </w:rPr>
  </w:style>
  <w:style w:type="character" w:customStyle="1" w:styleId="Heading3Char">
    <w:name w:val="Heading 3 Char"/>
    <w:basedOn w:val="DefaultParagraphFont"/>
    <w:link w:val="Heading3"/>
    <w:rsid w:val="004E6322"/>
    <w:rPr>
      <w:rFonts w:ascii="Arial" w:hAnsi="Arial"/>
      <w:b/>
      <w:sz w:val="24"/>
      <w:szCs w:val="26"/>
      <w:lang w:eastAsia="de-AT"/>
    </w:rPr>
  </w:style>
  <w:style w:type="paragraph" w:customStyle="1" w:styleId="Headline1">
    <w:name w:val="Headline 1"/>
    <w:basedOn w:val="Normal"/>
    <w:qFormat/>
    <w:rsid w:val="00E05511"/>
    <w:pPr>
      <w:spacing w:after="200" w:line="300" w:lineRule="auto"/>
      <w:contextualSpacing/>
    </w:pPr>
    <w:rPr>
      <w:rFonts w:asciiTheme="minorHAnsi" w:hAnsiTheme="minorHAnsi" w:cs="Arial"/>
      <w:b/>
      <w:color w:val="FF9614"/>
      <w:sz w:val="28"/>
      <w:szCs w:val="28"/>
      <w:lang w:val="sl-SI" w:eastAsia="de-AT"/>
    </w:rPr>
  </w:style>
  <w:style w:type="paragraph" w:customStyle="1" w:styleId="Headline1naslovnica">
    <w:name w:val="Headline 1 (naslovnica)"/>
    <w:basedOn w:val="Normal"/>
    <w:link w:val="Headline1naslovnicaChar"/>
    <w:qFormat/>
    <w:rsid w:val="00E05511"/>
    <w:pPr>
      <w:spacing w:after="200"/>
      <w:contextualSpacing/>
    </w:pPr>
    <w:rPr>
      <w:rFonts w:asciiTheme="minorHAnsi" w:hAnsiTheme="minorHAnsi"/>
      <w:b/>
      <w:sz w:val="40"/>
      <w:szCs w:val="24"/>
      <w:lang w:val="sl-SI" w:eastAsia="de-AT"/>
    </w:rPr>
  </w:style>
  <w:style w:type="paragraph" w:customStyle="1" w:styleId="Headline2">
    <w:name w:val="Headline 2"/>
    <w:basedOn w:val="Normal"/>
    <w:qFormat/>
    <w:rsid w:val="00E05511"/>
    <w:pPr>
      <w:spacing w:after="200"/>
      <w:contextualSpacing/>
    </w:pPr>
    <w:rPr>
      <w:rFonts w:asciiTheme="minorHAnsi" w:hAnsiTheme="minorHAnsi"/>
      <w:b/>
      <w:bCs/>
      <w:sz w:val="24"/>
      <w:lang w:val="sl-SI" w:eastAsia="de-AT"/>
    </w:rPr>
  </w:style>
  <w:style w:type="paragraph" w:customStyle="1" w:styleId="Headline2naslovnica">
    <w:name w:val="Headline 2 (naslovnica)"/>
    <w:basedOn w:val="Normal"/>
    <w:link w:val="Headline2naslovnicaChar"/>
    <w:rsid w:val="00E05511"/>
    <w:pPr>
      <w:jc w:val="both"/>
    </w:pPr>
    <w:rPr>
      <w:rFonts w:asciiTheme="minorHAnsi" w:hAnsiTheme="minorHAnsi"/>
      <w:sz w:val="36"/>
      <w:szCs w:val="24"/>
      <w:lang w:val="sl-SI" w:eastAsia="de-AT"/>
    </w:rPr>
  </w:style>
  <w:style w:type="paragraph" w:customStyle="1" w:styleId="Headline3">
    <w:name w:val="Headline 3"/>
    <w:basedOn w:val="Normal"/>
    <w:qFormat/>
    <w:rsid w:val="00E05511"/>
    <w:pPr>
      <w:spacing w:after="200"/>
      <w:contextualSpacing/>
    </w:pPr>
    <w:rPr>
      <w:rFonts w:asciiTheme="minorHAnsi" w:hAnsiTheme="minorHAnsi"/>
      <w:b/>
      <w:bCs/>
      <w:lang w:val="sl-SI" w:eastAsia="de-AT"/>
    </w:rPr>
  </w:style>
  <w:style w:type="paragraph" w:customStyle="1" w:styleId="Headline4">
    <w:name w:val="Headline 4"/>
    <w:basedOn w:val="Normal"/>
    <w:qFormat/>
    <w:rsid w:val="00E05511"/>
    <w:pPr>
      <w:spacing w:after="200"/>
      <w:contextualSpacing/>
    </w:pPr>
    <w:rPr>
      <w:rFonts w:asciiTheme="minorHAnsi" w:hAnsiTheme="minorHAnsi"/>
      <w:b/>
      <w:bCs/>
      <w:i/>
      <w:iCs/>
      <w:lang w:val="sl-SI" w:eastAsia="de-AT"/>
    </w:rPr>
  </w:style>
  <w:style w:type="paragraph" w:styleId="ListBullet">
    <w:name w:val="List Bullet"/>
    <w:aliases w:val="Bullets"/>
    <w:basedOn w:val="Normal"/>
    <w:unhideWhenUsed/>
    <w:qFormat/>
    <w:rsid w:val="009C02C2"/>
    <w:pPr>
      <w:numPr>
        <w:numId w:val="8"/>
      </w:numPr>
      <w:contextualSpacing/>
    </w:pPr>
    <w:rPr>
      <w:rFonts w:asciiTheme="minorHAnsi" w:eastAsiaTheme="minorHAnsi" w:hAnsiTheme="minorHAnsi" w:cstheme="minorBidi"/>
      <w:lang w:val="sl-SI" w:eastAsia="en-US"/>
    </w:rPr>
  </w:style>
  <w:style w:type="paragraph" w:customStyle="1" w:styleId="Referenca">
    <w:name w:val="Referenca"/>
    <w:basedOn w:val="Normal"/>
    <w:qFormat/>
    <w:rsid w:val="004E6322"/>
    <w:pPr>
      <w:spacing w:after="120"/>
    </w:pPr>
    <w:rPr>
      <w:sz w:val="18"/>
      <w:lang w:val="sl-SI" w:eastAsia="de-AT"/>
    </w:rPr>
  </w:style>
  <w:style w:type="character" w:customStyle="1" w:styleId="StylePlaceholderText12ptKernat16pt">
    <w:name w:val="Style Placeholder Text + 12 pt Kern at 16 pt"/>
    <w:basedOn w:val="PlaceholderText"/>
    <w:rsid w:val="003E5DC1"/>
    <w:rPr>
      <w:rFonts w:ascii="Arial" w:hAnsi="Arial"/>
      <w:b/>
      <w:color w:val="808080"/>
      <w:kern w:val="32"/>
      <w:sz w:val="24"/>
    </w:rPr>
  </w:style>
  <w:style w:type="character" w:customStyle="1" w:styleId="Headline1naslovnicaChar">
    <w:name w:val="Headline 1 (naslovnica) Char"/>
    <w:basedOn w:val="DefaultParagraphFont"/>
    <w:link w:val="Headline1naslovnica"/>
    <w:rsid w:val="00E05511"/>
    <w:rPr>
      <w:rFonts w:asciiTheme="minorHAnsi" w:hAnsiTheme="minorHAnsi"/>
      <w:b/>
      <w:sz w:val="40"/>
      <w:szCs w:val="24"/>
      <w:lang w:eastAsia="de-AT"/>
    </w:rPr>
  </w:style>
  <w:style w:type="paragraph" w:customStyle="1" w:styleId="Headline1rn">
    <w:name w:val="Headline 1 Črn"/>
    <w:basedOn w:val="Headline1"/>
    <w:qFormat/>
    <w:rsid w:val="00E05511"/>
    <w:rPr>
      <w:color w:val="000000" w:themeColor="text1"/>
    </w:rPr>
  </w:style>
  <w:style w:type="character" w:customStyle="1" w:styleId="Headline2naslovnicaChar">
    <w:name w:val="Headline 2 (naslovnica) Char"/>
    <w:basedOn w:val="DefaultParagraphFont"/>
    <w:link w:val="Headline2naslovnica"/>
    <w:rsid w:val="00E05511"/>
    <w:rPr>
      <w:rFonts w:asciiTheme="minorHAnsi" w:hAnsiTheme="minorHAnsi"/>
      <w:sz w:val="36"/>
      <w:szCs w:val="24"/>
      <w:lang w:eastAsia="de-AT"/>
    </w:rPr>
  </w:style>
  <w:style w:type="paragraph" w:customStyle="1" w:styleId="Default">
    <w:name w:val="Default"/>
    <w:rsid w:val="0066336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orza">
  <a:themeElements>
    <a:clrScheme name="Borza">
      <a:dk1>
        <a:sysClr val="windowText" lastClr="000000"/>
      </a:dk1>
      <a:lt1>
        <a:srgbClr val="FFFFFF"/>
      </a:lt1>
      <a:dk2>
        <a:srgbClr val="585858"/>
      </a:dk2>
      <a:lt2>
        <a:srgbClr val="D9D9D9"/>
      </a:lt2>
      <a:accent1>
        <a:srgbClr val="AAAAAA"/>
      </a:accent1>
      <a:accent2>
        <a:srgbClr val="0096D2"/>
      </a:accent2>
      <a:accent3>
        <a:srgbClr val="17016E"/>
      </a:accent3>
      <a:accent4>
        <a:srgbClr val="F6A800"/>
      </a:accent4>
      <a:accent5>
        <a:srgbClr val="36802B"/>
      </a:accent5>
      <a:accent6>
        <a:srgbClr val="FF9614"/>
      </a:accent6>
      <a:hlink>
        <a:srgbClr val="0563C1"/>
      </a:hlink>
      <a:folHlink>
        <a:srgbClr val="954F72"/>
      </a:folHlink>
    </a:clrScheme>
    <a:fontScheme name="Borz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8154C7B440E5428FAC6A451404B155" ma:contentTypeVersion="0" ma:contentTypeDescription="Create a new document." ma:contentTypeScope="" ma:versionID="ea8385f6ae71b0359f5f4bf2e9a789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0C771-A518-477A-B915-24AB01332374}">
  <ds:schemaRefs>
    <ds:schemaRef ds:uri="http://schemas.microsoft.com/sharepoint/v3/contenttype/forms"/>
  </ds:schemaRefs>
</ds:datastoreItem>
</file>

<file path=customXml/itemProps2.xml><?xml version="1.0" encoding="utf-8"?>
<ds:datastoreItem xmlns:ds="http://schemas.openxmlformats.org/officeDocument/2006/customXml" ds:itemID="{1F69BC51-B61B-4B25-9E3D-94407808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A475AF-0499-4110-8734-09C9B7F5FA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2400</Characters>
  <Application>Microsoft Office Word</Application>
  <DocSecurity>0</DocSecurity>
  <Lines>20</Lines>
  <Paragraphs>5</Paragraphs>
  <ScaleCrop>false</ScaleCrop>
  <HeadingPairs>
    <vt:vector size="6" baseType="variant">
      <vt:variant>
        <vt:lpstr>Title</vt:lpstr>
      </vt:variant>
      <vt:variant>
        <vt:i4>1</vt:i4>
      </vt:variant>
      <vt:variant>
        <vt:lpstr>Naslov</vt:lpstr>
      </vt:variant>
      <vt:variant>
        <vt:i4>1</vt:i4>
      </vt:variant>
      <vt:variant>
        <vt:lpstr>Podnaslovi</vt:lpstr>
      </vt:variant>
      <vt:variant>
        <vt:i4>1</vt:i4>
      </vt:variant>
    </vt:vector>
  </HeadingPairs>
  <TitlesOfParts>
    <vt:vector size="3" baseType="lpstr">
      <vt:lpstr/>
      <vt:lpstr>To</vt:lpstr>
      <vt:lpstr>Subject:</vt:lpstr>
    </vt:vector>
  </TitlesOfParts>
  <Company>Ljubljanska borza d.d.</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Šipek</dc:creator>
  <cp:keywords/>
  <dc:description/>
  <cp:lastModifiedBy>VitoS</cp:lastModifiedBy>
  <cp:revision>4</cp:revision>
  <cp:lastPrinted>2009-09-03T14:29:00Z</cp:lastPrinted>
  <dcterms:created xsi:type="dcterms:W3CDTF">2016-05-23T11:16:00Z</dcterms:created>
  <dcterms:modified xsi:type="dcterms:W3CDTF">2016-05-24T08:17:00Z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0x010100EF8154C7B440E5428FAC6A451404B155</vt:lpwstr>
  </property>
</Properties>
</file>