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D6" w:rsidRDefault="007E5BDA" w:rsidP="007E5BDA">
      <w:pPr>
        <w:pStyle w:val="Sporocilo"/>
        <w:framePr w:wrap="notBeside"/>
        <w:rPr>
          <w:b w:val="0"/>
          <w:bCs w:val="0"/>
          <w:color w:val="FF0000"/>
          <w:spacing w:val="8"/>
          <w:sz w:val="40"/>
        </w:rPr>
      </w:pPr>
      <w:r>
        <w:t xml:space="preserve">Press </w:t>
      </w:r>
      <w:r w:rsidR="00643724">
        <w:t>Release</w:t>
      </w:r>
    </w:p>
    <w:p w:rsidR="00C854D6" w:rsidRDefault="00C854D6">
      <w:pPr>
        <w:framePr w:w="9639" w:h="851" w:hRule="exact" w:hSpace="181" w:wrap="notBeside" w:vAnchor="page" w:hAnchor="page" w:x="1135" w:y="2836"/>
      </w:pPr>
    </w:p>
    <w:p w:rsidR="00C854D6" w:rsidRPr="00277EF4" w:rsidRDefault="00C854D6">
      <w:pPr>
        <w:suppressAutoHyphens/>
        <w:spacing w:line="240" w:lineRule="atLeast"/>
        <w:rPr>
          <w:rFonts w:ascii="Arial" w:hAnsi="Arial" w:cs="Arial"/>
          <w:b/>
          <w:bCs/>
          <w:sz w:val="20"/>
          <w:szCs w:val="20"/>
          <w:lang w:val="de-DE"/>
        </w:rPr>
      </w:pPr>
    </w:p>
    <w:p w:rsidR="00C854D6" w:rsidRPr="00277EF4" w:rsidRDefault="00C854D6">
      <w:pPr>
        <w:suppressAutoHyphens/>
        <w:spacing w:line="240" w:lineRule="atLeast"/>
        <w:rPr>
          <w:rFonts w:ascii="Arial" w:hAnsi="Arial" w:cs="Arial"/>
          <w:b/>
          <w:bCs/>
          <w:sz w:val="20"/>
          <w:szCs w:val="20"/>
          <w:lang w:val="en-GB"/>
        </w:rPr>
      </w:pPr>
    </w:p>
    <w:p w:rsidR="00C854D6" w:rsidRPr="00277EF4" w:rsidRDefault="00E45F2C">
      <w:pPr>
        <w:spacing w:line="240" w:lineRule="atLeast"/>
        <w:rPr>
          <w:rFonts w:ascii="Arial" w:hAnsi="Arial" w:cs="Arial"/>
          <w:i/>
          <w:iCs/>
          <w:sz w:val="20"/>
          <w:szCs w:val="20"/>
          <w:lang w:val="en-GB"/>
        </w:rPr>
      </w:pPr>
      <w:r w:rsidRPr="00E45F2C">
        <w:rPr>
          <w:rFonts w:ascii="Arial" w:hAnsi="Arial" w:cs="Arial"/>
          <w:noProof/>
          <w:sz w:val="20"/>
          <w:szCs w:val="20"/>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7pt;margin-top:184.3pt;width:174.3pt;height:14.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Av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" filled="f" stroked="f">
            <v:textbox inset="0,0,0,0">
              <w:txbxContent>
                <w:p w:rsidR="0088065D" w:rsidRDefault="0088065D">
                  <w:pPr>
                    <w:pStyle w:val="Krajindatum"/>
                  </w:pPr>
                  <w:r>
                    <w:t>Ljubljana, 9.2.2018</w:t>
                  </w:r>
                </w:p>
                <w:p w:rsidR="0088065D" w:rsidRDefault="0088065D">
                  <w:pPr>
                    <w:pStyle w:val="Krajindatum"/>
                  </w:pPr>
                </w:p>
                <w:p w:rsidR="0088065D" w:rsidRDefault="0088065D">
                  <w:pPr>
                    <w:pStyle w:val="Krajindatum"/>
                  </w:pPr>
                </w:p>
                <w:p w:rsidR="0088065D" w:rsidRDefault="0088065D">
                  <w:pPr>
                    <w:pStyle w:val="Krajindatum"/>
                  </w:pPr>
                </w:p>
                <w:p w:rsidR="0088065D" w:rsidRDefault="0088065D">
                  <w:pPr>
                    <w:pStyle w:val="Krajindatum"/>
                  </w:pPr>
                </w:p>
              </w:txbxContent>
            </v:textbox>
            <w10:wrap anchorx="page" anchory="page"/>
            <w10:anchorlock/>
          </v:shape>
        </w:pict>
      </w:r>
    </w:p>
    <w:p w:rsidR="00920CE9" w:rsidRPr="00277EF4" w:rsidRDefault="00920CE9" w:rsidP="002D2C0E">
      <w:pPr>
        <w:spacing w:line="240" w:lineRule="atLeast"/>
        <w:jc w:val="both"/>
        <w:rPr>
          <w:rFonts w:ascii="Arial" w:hAnsi="Arial" w:cs="Arial"/>
          <w:b/>
          <w:bCs/>
          <w:color w:val="FF0000"/>
          <w:sz w:val="20"/>
          <w:szCs w:val="20"/>
          <w:lang w:val="en-GB"/>
        </w:rPr>
      </w:pPr>
    </w:p>
    <w:p w:rsidR="00C854D6" w:rsidRPr="00E82829" w:rsidRDefault="0088065D" w:rsidP="00F37898">
      <w:pPr>
        <w:spacing w:line="240" w:lineRule="atLeast"/>
        <w:jc w:val="center"/>
        <w:rPr>
          <w:rFonts w:ascii="Arial" w:hAnsi="Arial" w:cs="Arial"/>
          <w:color w:val="FF0000"/>
          <w:sz w:val="28"/>
          <w:szCs w:val="28"/>
          <w:lang w:val="en-GB"/>
        </w:rPr>
      </w:pPr>
      <w:r>
        <w:rPr>
          <w:rFonts w:ascii="Arial" w:hAnsi="Arial" w:cs="Arial"/>
          <w:b/>
          <w:bCs/>
          <w:color w:val="FF0000"/>
          <w:sz w:val="28"/>
          <w:szCs w:val="28"/>
          <w:lang w:val="en-GB"/>
        </w:rPr>
        <w:t xml:space="preserve">SKB </w:t>
      </w:r>
      <w:r w:rsidR="001D15B8">
        <w:rPr>
          <w:rFonts w:ascii="Arial" w:hAnsi="Arial" w:cs="Arial"/>
          <w:b/>
          <w:bCs/>
          <w:color w:val="FF0000"/>
          <w:sz w:val="28"/>
          <w:szCs w:val="28"/>
          <w:lang w:val="en-GB"/>
        </w:rPr>
        <w:t xml:space="preserve">Group </w:t>
      </w:r>
      <w:r w:rsidR="001947B9">
        <w:rPr>
          <w:rFonts w:ascii="Arial" w:hAnsi="Arial" w:cs="Arial"/>
          <w:b/>
          <w:bCs/>
          <w:color w:val="FF0000"/>
          <w:sz w:val="28"/>
          <w:szCs w:val="28"/>
          <w:lang w:val="en-GB"/>
        </w:rPr>
        <w:t xml:space="preserve">posted </w:t>
      </w:r>
      <w:r w:rsidR="006778BD">
        <w:rPr>
          <w:rFonts w:ascii="Arial" w:hAnsi="Arial" w:cs="Arial"/>
          <w:b/>
          <w:bCs/>
          <w:color w:val="FF0000"/>
          <w:sz w:val="28"/>
          <w:szCs w:val="28"/>
          <w:lang w:val="en-GB"/>
        </w:rPr>
        <w:t>a</w:t>
      </w:r>
      <w:r w:rsidR="00504BF7">
        <w:rPr>
          <w:rFonts w:ascii="Arial" w:hAnsi="Arial" w:cs="Arial"/>
          <w:b/>
          <w:bCs/>
          <w:color w:val="FF0000"/>
          <w:sz w:val="28"/>
          <w:szCs w:val="28"/>
          <w:lang w:val="en-GB"/>
        </w:rPr>
        <w:t xml:space="preserve"> net result of 43.4 million euros in 2017</w:t>
      </w:r>
      <w:r w:rsidR="006778BD">
        <w:rPr>
          <w:rFonts w:ascii="Arial" w:hAnsi="Arial" w:cs="Arial"/>
          <w:b/>
          <w:bCs/>
          <w:color w:val="FF0000"/>
          <w:sz w:val="28"/>
          <w:szCs w:val="28"/>
          <w:lang w:val="en-GB"/>
        </w:rPr>
        <w:t xml:space="preserve">, driven by </w:t>
      </w:r>
      <w:r w:rsidR="001D15B8">
        <w:rPr>
          <w:rFonts w:ascii="Arial" w:hAnsi="Arial" w:cs="Arial"/>
          <w:b/>
          <w:bCs/>
          <w:color w:val="FF0000"/>
          <w:sz w:val="28"/>
          <w:szCs w:val="28"/>
          <w:lang w:val="en-GB"/>
        </w:rPr>
        <w:t xml:space="preserve">a resilient </w:t>
      </w:r>
      <w:r w:rsidR="00504BF7">
        <w:rPr>
          <w:rFonts w:ascii="Arial" w:hAnsi="Arial" w:cs="Arial"/>
          <w:b/>
          <w:bCs/>
          <w:color w:val="FF0000"/>
          <w:sz w:val="28"/>
          <w:szCs w:val="28"/>
          <w:lang w:val="en-GB"/>
        </w:rPr>
        <w:t xml:space="preserve">growth of revenues and </w:t>
      </w:r>
      <w:r w:rsidR="001D15B8">
        <w:rPr>
          <w:rFonts w:ascii="Arial" w:hAnsi="Arial" w:cs="Arial"/>
          <w:b/>
          <w:bCs/>
          <w:color w:val="FF0000"/>
          <w:sz w:val="28"/>
          <w:szCs w:val="28"/>
          <w:lang w:val="en-GB"/>
        </w:rPr>
        <w:t xml:space="preserve">a </w:t>
      </w:r>
      <w:r w:rsidR="00504BF7">
        <w:rPr>
          <w:rFonts w:ascii="Arial" w:hAnsi="Arial" w:cs="Arial"/>
          <w:b/>
          <w:bCs/>
          <w:color w:val="FF0000"/>
          <w:sz w:val="28"/>
          <w:szCs w:val="28"/>
          <w:lang w:val="en-GB"/>
        </w:rPr>
        <w:t xml:space="preserve">cautious </w:t>
      </w:r>
      <w:r w:rsidR="001D15B8">
        <w:rPr>
          <w:rFonts w:ascii="Arial" w:hAnsi="Arial" w:cs="Arial"/>
          <w:b/>
          <w:bCs/>
          <w:color w:val="FF0000"/>
          <w:sz w:val="28"/>
          <w:szCs w:val="28"/>
          <w:lang w:val="en-GB"/>
        </w:rPr>
        <w:t>management of risks and costs</w:t>
      </w:r>
    </w:p>
    <w:p w:rsidR="00C854D6" w:rsidRPr="00277EF4" w:rsidRDefault="00C854D6" w:rsidP="002D2C0E">
      <w:pPr>
        <w:jc w:val="both"/>
        <w:rPr>
          <w:rFonts w:ascii="Arial" w:hAnsi="Arial" w:cs="Arial"/>
          <w:b/>
          <w:sz w:val="20"/>
          <w:szCs w:val="20"/>
          <w:highlight w:val="yellow"/>
          <w:lang w:val="en-GB"/>
        </w:rPr>
      </w:pPr>
    </w:p>
    <w:p w:rsidR="00504BF7" w:rsidRDefault="00277EF4" w:rsidP="005C40DB">
      <w:pPr>
        <w:pStyle w:val="daljsinaslov0"/>
        <w:spacing w:before="0" w:beforeAutospacing="0" w:after="0" w:afterAutospacing="0"/>
        <w:jc w:val="both"/>
        <w:rPr>
          <w:rFonts w:ascii="Arial" w:hAnsi="Arial" w:cs="Arial"/>
          <w:b/>
          <w:sz w:val="20"/>
          <w:szCs w:val="20"/>
          <w:lang w:val="en-GB"/>
        </w:rPr>
      </w:pPr>
      <w:r w:rsidRPr="00277EF4">
        <w:rPr>
          <w:rFonts w:ascii="Arial" w:hAnsi="Arial" w:cs="Arial"/>
          <w:b/>
          <w:sz w:val="20"/>
          <w:szCs w:val="20"/>
          <w:lang w:val="en-GB"/>
        </w:rPr>
        <w:t>In 2017</w:t>
      </w:r>
      <w:r w:rsidR="000A67E8">
        <w:rPr>
          <w:rFonts w:ascii="Arial" w:hAnsi="Arial" w:cs="Arial"/>
          <w:b/>
          <w:sz w:val="20"/>
          <w:szCs w:val="20"/>
          <w:lang w:val="en-GB"/>
        </w:rPr>
        <w:t>,</w:t>
      </w:r>
      <w:r w:rsidRPr="00277EF4">
        <w:rPr>
          <w:rFonts w:ascii="Arial" w:hAnsi="Arial" w:cs="Arial"/>
          <w:b/>
          <w:sz w:val="20"/>
          <w:szCs w:val="20"/>
          <w:lang w:val="en-GB"/>
        </w:rPr>
        <w:t xml:space="preserve"> </w:t>
      </w:r>
      <w:r w:rsidR="00482609" w:rsidRPr="00277EF4">
        <w:rPr>
          <w:rFonts w:ascii="Arial" w:hAnsi="Arial" w:cs="Arial"/>
          <w:b/>
          <w:sz w:val="20"/>
          <w:szCs w:val="20"/>
          <w:lang w:val="en-GB"/>
        </w:rPr>
        <w:t>SKB</w:t>
      </w:r>
      <w:r w:rsidR="007E5BDA" w:rsidRPr="00277EF4">
        <w:rPr>
          <w:rFonts w:ascii="Arial" w:hAnsi="Arial" w:cs="Arial"/>
          <w:b/>
          <w:sz w:val="20"/>
          <w:szCs w:val="20"/>
          <w:lang w:val="en-GB"/>
        </w:rPr>
        <w:t xml:space="preserve"> Group</w:t>
      </w:r>
      <w:r w:rsidR="00FB2FA1" w:rsidRPr="00277EF4">
        <w:rPr>
          <w:rStyle w:val="FootnoteReference"/>
          <w:rFonts w:ascii="Arial" w:hAnsi="Arial" w:cs="Arial"/>
          <w:b/>
          <w:sz w:val="20"/>
          <w:szCs w:val="20"/>
          <w:lang w:val="en-GB"/>
        </w:rPr>
        <w:footnoteReference w:id="1"/>
      </w:r>
      <w:r w:rsidR="00E14F04" w:rsidRPr="00277EF4">
        <w:rPr>
          <w:rFonts w:ascii="Arial" w:hAnsi="Arial" w:cs="Arial"/>
          <w:b/>
          <w:sz w:val="20"/>
          <w:szCs w:val="20"/>
          <w:lang w:val="en-GB"/>
        </w:rPr>
        <w:t xml:space="preserve"> </w:t>
      </w:r>
      <w:r w:rsidR="001D15B8">
        <w:rPr>
          <w:rFonts w:ascii="Arial" w:hAnsi="Arial" w:cs="Arial"/>
          <w:b/>
          <w:sz w:val="20"/>
          <w:szCs w:val="20"/>
          <w:lang w:val="en-GB"/>
        </w:rPr>
        <w:t xml:space="preserve">posted a net profit of </w:t>
      </w:r>
      <w:r w:rsidR="00046446">
        <w:rPr>
          <w:rFonts w:ascii="Arial" w:hAnsi="Arial" w:cs="Arial"/>
          <w:b/>
          <w:sz w:val="20"/>
          <w:szCs w:val="20"/>
          <w:lang w:val="en-GB"/>
        </w:rPr>
        <w:t>43</w:t>
      </w:r>
      <w:r w:rsidR="00AE40A7">
        <w:rPr>
          <w:rFonts w:ascii="Arial" w:hAnsi="Arial" w:cs="Arial"/>
          <w:b/>
          <w:sz w:val="20"/>
          <w:szCs w:val="20"/>
          <w:lang w:val="en-GB"/>
        </w:rPr>
        <w:t>.</w:t>
      </w:r>
      <w:r w:rsidR="00504BF7">
        <w:rPr>
          <w:rFonts w:ascii="Arial" w:hAnsi="Arial" w:cs="Arial"/>
          <w:b/>
          <w:sz w:val="20"/>
          <w:szCs w:val="20"/>
          <w:lang w:val="en-GB"/>
        </w:rPr>
        <w:t>4</w:t>
      </w:r>
      <w:r w:rsidR="00046446">
        <w:rPr>
          <w:rFonts w:ascii="Arial" w:hAnsi="Arial" w:cs="Arial"/>
          <w:b/>
          <w:sz w:val="20"/>
          <w:szCs w:val="20"/>
          <w:lang w:val="en-GB"/>
        </w:rPr>
        <w:t xml:space="preserve"> </w:t>
      </w:r>
      <w:r w:rsidR="00504BF7">
        <w:rPr>
          <w:rFonts w:ascii="Arial" w:hAnsi="Arial" w:cs="Arial"/>
          <w:b/>
          <w:sz w:val="20"/>
          <w:szCs w:val="20"/>
          <w:lang w:val="en-GB"/>
        </w:rPr>
        <w:t xml:space="preserve">M </w:t>
      </w:r>
      <w:r w:rsidR="00046446">
        <w:rPr>
          <w:rFonts w:ascii="Arial" w:hAnsi="Arial" w:cs="Arial"/>
          <w:b/>
          <w:sz w:val="20"/>
          <w:szCs w:val="20"/>
          <w:lang w:val="en-GB"/>
        </w:rPr>
        <w:t>euros</w:t>
      </w:r>
      <w:r w:rsidR="00504BF7">
        <w:rPr>
          <w:rFonts w:ascii="Arial" w:hAnsi="Arial" w:cs="Arial"/>
          <w:b/>
          <w:sz w:val="20"/>
          <w:szCs w:val="20"/>
          <w:lang w:val="en-GB"/>
        </w:rPr>
        <w:t xml:space="preserve">, 31.9% lower than in 2016. The decrease is mainly due to the fact that 2016 results had been boosted by exceptional events : </w:t>
      </w:r>
    </w:p>
    <w:p w:rsidR="001D4065" w:rsidRPr="001D4065" w:rsidRDefault="00504BF7" w:rsidP="001D4065">
      <w:pPr>
        <w:pStyle w:val="daljsinaslov0"/>
        <w:numPr>
          <w:ilvl w:val="0"/>
          <w:numId w:val="9"/>
        </w:numPr>
        <w:spacing w:before="0" w:beforeAutospacing="0" w:after="0" w:afterAutospacing="0"/>
        <w:jc w:val="both"/>
        <w:rPr>
          <w:rFonts w:ascii="Arial" w:hAnsi="Arial" w:cs="Arial"/>
          <w:b/>
          <w:bCs/>
          <w:sz w:val="20"/>
          <w:szCs w:val="20"/>
          <w:lang w:val="en-GB"/>
        </w:rPr>
      </w:pPr>
      <w:r>
        <w:rPr>
          <w:rFonts w:ascii="Arial" w:hAnsi="Arial" w:cs="Arial"/>
          <w:b/>
          <w:sz w:val="20"/>
          <w:szCs w:val="20"/>
          <w:lang w:val="en-GB"/>
        </w:rPr>
        <w:t>a 9.7 M euros capital gain related to the sale of equity investments,</w:t>
      </w:r>
    </w:p>
    <w:p w:rsidR="001D4065" w:rsidRPr="001D4065" w:rsidRDefault="00D63C79" w:rsidP="001D4065">
      <w:pPr>
        <w:pStyle w:val="daljsinaslov0"/>
        <w:numPr>
          <w:ilvl w:val="0"/>
          <w:numId w:val="9"/>
        </w:numPr>
        <w:spacing w:before="0" w:beforeAutospacing="0" w:after="0" w:afterAutospacing="0"/>
        <w:jc w:val="both"/>
        <w:rPr>
          <w:rFonts w:ascii="Arial" w:hAnsi="Arial" w:cs="Arial"/>
          <w:b/>
          <w:bCs/>
          <w:sz w:val="20"/>
          <w:szCs w:val="20"/>
          <w:lang w:val="en-GB"/>
        </w:rPr>
      </w:pPr>
      <w:r>
        <w:rPr>
          <w:rFonts w:ascii="Arial" w:hAnsi="Arial" w:cs="Arial"/>
          <w:b/>
          <w:sz w:val="20"/>
          <w:szCs w:val="20"/>
          <w:lang w:val="en-GB"/>
        </w:rPr>
        <w:t>a 15.5 M euros reversal of provisions due to an improved quality of credit portfolios</w:t>
      </w:r>
      <w:r w:rsidR="00AE40A7">
        <w:rPr>
          <w:rFonts w:ascii="Arial" w:hAnsi="Arial" w:cs="Arial"/>
          <w:b/>
          <w:sz w:val="20"/>
          <w:szCs w:val="20"/>
          <w:lang w:val="en-GB"/>
        </w:rPr>
        <w:t>.</w:t>
      </w:r>
    </w:p>
    <w:p w:rsidR="001D4065" w:rsidRDefault="001D4065">
      <w:pPr>
        <w:pStyle w:val="daljsinaslov0"/>
        <w:spacing w:before="0" w:beforeAutospacing="0" w:after="0" w:afterAutospacing="0"/>
        <w:jc w:val="both"/>
        <w:rPr>
          <w:rFonts w:ascii="Arial" w:hAnsi="Arial" w:cs="Arial"/>
          <w:b/>
          <w:sz w:val="20"/>
          <w:szCs w:val="20"/>
          <w:lang w:val="en-GB"/>
        </w:rPr>
      </w:pPr>
    </w:p>
    <w:p w:rsidR="001D4065" w:rsidRDefault="00504BF7">
      <w:pPr>
        <w:pStyle w:val="daljsinaslov0"/>
        <w:spacing w:before="0" w:beforeAutospacing="0" w:after="0" w:afterAutospacing="0"/>
        <w:jc w:val="both"/>
        <w:rPr>
          <w:rFonts w:ascii="Arial" w:hAnsi="Arial" w:cs="Arial"/>
          <w:b/>
          <w:bCs/>
          <w:sz w:val="20"/>
          <w:szCs w:val="20"/>
          <w:lang w:val="en-GB"/>
        </w:rPr>
      </w:pPr>
      <w:r>
        <w:rPr>
          <w:rFonts w:ascii="Arial" w:hAnsi="Arial" w:cs="Arial"/>
          <w:b/>
          <w:sz w:val="20"/>
          <w:szCs w:val="20"/>
          <w:lang w:val="en-GB"/>
        </w:rPr>
        <w:t xml:space="preserve">SKB Group’s underlying business showed signs of real dynamism in 2017, with an increase of net banking income of 1.8%, and a stable </w:t>
      </w:r>
      <w:r w:rsidR="005938D5">
        <w:rPr>
          <w:rFonts w:ascii="Arial" w:hAnsi="Arial" w:cs="Arial"/>
          <w:b/>
          <w:sz w:val="20"/>
          <w:szCs w:val="20"/>
          <w:lang w:val="en-GB"/>
        </w:rPr>
        <w:t xml:space="preserve">gross </w:t>
      </w:r>
      <w:r w:rsidR="0088065D">
        <w:rPr>
          <w:rFonts w:ascii="Arial" w:hAnsi="Arial" w:cs="Arial"/>
          <w:b/>
          <w:sz w:val="20"/>
          <w:szCs w:val="20"/>
          <w:lang w:val="en-GB"/>
        </w:rPr>
        <w:t xml:space="preserve">operating profit. </w:t>
      </w:r>
      <w:r>
        <w:rPr>
          <w:rFonts w:ascii="Arial" w:hAnsi="Arial" w:cs="Arial"/>
          <w:b/>
          <w:sz w:val="20"/>
          <w:szCs w:val="20"/>
          <w:lang w:val="en-GB"/>
        </w:rPr>
        <w:t>Net cost of risk remained positive this year, with a 0.5 M euros reversal of provisions</w:t>
      </w:r>
      <w:r w:rsidR="00C8078B">
        <w:rPr>
          <w:rFonts w:ascii="Arial" w:hAnsi="Arial" w:cs="Arial"/>
          <w:b/>
          <w:bCs/>
          <w:sz w:val="20"/>
          <w:szCs w:val="20"/>
          <w:lang w:val="en-GB"/>
        </w:rPr>
        <w:t xml:space="preserve">. </w:t>
      </w:r>
    </w:p>
    <w:p w:rsidR="00477873" w:rsidRDefault="00477873" w:rsidP="005C40DB">
      <w:pPr>
        <w:pStyle w:val="daljsinaslov0"/>
        <w:spacing w:before="0" w:beforeAutospacing="0" w:after="0" w:afterAutospacing="0"/>
        <w:jc w:val="both"/>
        <w:rPr>
          <w:rFonts w:ascii="Arial" w:hAnsi="Arial" w:cs="Arial"/>
          <w:b/>
          <w:bCs/>
          <w:sz w:val="20"/>
          <w:szCs w:val="20"/>
          <w:lang w:val="en-GB"/>
        </w:rPr>
      </w:pPr>
    </w:p>
    <w:tbl>
      <w:tblPr>
        <w:tblW w:w="7844" w:type="dxa"/>
        <w:tblInd w:w="456" w:type="dxa"/>
        <w:tblCellMar>
          <w:left w:w="70" w:type="dxa"/>
          <w:right w:w="70" w:type="dxa"/>
        </w:tblCellMar>
        <w:tblLook w:val="04A0"/>
      </w:tblPr>
      <w:tblGrid>
        <w:gridCol w:w="3026"/>
        <w:gridCol w:w="2226"/>
        <w:gridCol w:w="791"/>
        <w:gridCol w:w="1216"/>
        <w:gridCol w:w="1216"/>
      </w:tblGrid>
      <w:tr w:rsidR="00477873" w:rsidRPr="00477873" w:rsidTr="002F3C95">
        <w:trPr>
          <w:trHeight w:val="315"/>
        </w:trPr>
        <w:tc>
          <w:tcPr>
            <w:tcW w:w="5252" w:type="dxa"/>
            <w:gridSpan w:val="2"/>
            <w:tcBorders>
              <w:top w:val="nil"/>
              <w:left w:val="nil"/>
              <w:bottom w:val="nil"/>
              <w:right w:val="nil"/>
            </w:tcBorders>
            <w:shd w:val="clear" w:color="auto" w:fill="auto"/>
            <w:noWrap/>
            <w:vAlign w:val="bottom"/>
            <w:hideMark/>
          </w:tcPr>
          <w:p w:rsidR="001638D0" w:rsidRDefault="00477873">
            <w:pPr>
              <w:rPr>
                <w:rFonts w:ascii="Arial" w:hAnsi="Arial" w:cs="Arial"/>
                <w:b/>
                <w:bCs/>
                <w:color w:val="FF0000"/>
                <w:sz w:val="20"/>
                <w:szCs w:val="20"/>
              </w:rPr>
            </w:pPr>
            <w:r w:rsidRPr="00477873">
              <w:rPr>
                <w:rFonts w:ascii="Arial" w:hAnsi="Arial" w:cs="Arial"/>
                <w:b/>
                <w:bCs/>
                <w:color w:val="FF0000"/>
                <w:sz w:val="20"/>
                <w:szCs w:val="20"/>
              </w:rPr>
              <w:t xml:space="preserve">SKB Group </w:t>
            </w:r>
            <w:r w:rsidR="00896FEE">
              <w:rPr>
                <w:rFonts w:ascii="Arial" w:hAnsi="Arial" w:cs="Arial"/>
                <w:b/>
                <w:bCs/>
                <w:color w:val="FF0000"/>
                <w:sz w:val="20"/>
                <w:szCs w:val="20"/>
              </w:rPr>
              <w:t xml:space="preserve">- </w:t>
            </w:r>
            <w:r w:rsidR="007821F1">
              <w:rPr>
                <w:rFonts w:ascii="Arial" w:hAnsi="Arial" w:cs="Arial"/>
                <w:b/>
                <w:bCs/>
                <w:color w:val="FF0000"/>
                <w:sz w:val="20"/>
                <w:szCs w:val="20"/>
              </w:rPr>
              <w:t>non-audited financial</w:t>
            </w:r>
            <w:r w:rsidR="007821F1" w:rsidRPr="00477873">
              <w:rPr>
                <w:rFonts w:ascii="Arial" w:hAnsi="Arial" w:cs="Arial"/>
                <w:b/>
                <w:bCs/>
                <w:color w:val="FF0000"/>
                <w:sz w:val="20"/>
                <w:szCs w:val="20"/>
              </w:rPr>
              <w:t xml:space="preserve"> </w:t>
            </w:r>
            <w:r w:rsidRPr="00477873">
              <w:rPr>
                <w:rFonts w:ascii="Arial" w:hAnsi="Arial" w:cs="Arial"/>
                <w:b/>
                <w:bCs/>
                <w:color w:val="FF0000"/>
                <w:sz w:val="20"/>
                <w:szCs w:val="20"/>
              </w:rPr>
              <w:t>results</w:t>
            </w:r>
            <w:r w:rsidR="007821F1">
              <w:rPr>
                <w:rFonts w:ascii="Arial" w:hAnsi="Arial" w:cs="Arial"/>
                <w:b/>
                <w:bCs/>
                <w:color w:val="FF0000"/>
                <w:sz w:val="20"/>
                <w:szCs w:val="20"/>
              </w:rPr>
              <w:t xml:space="preserve"> </w:t>
            </w:r>
            <w:r w:rsidR="002F3C95">
              <w:rPr>
                <w:rFonts w:ascii="Arial" w:hAnsi="Arial" w:cs="Arial"/>
                <w:b/>
                <w:bCs/>
                <w:color w:val="FF0000"/>
                <w:sz w:val="20"/>
                <w:szCs w:val="20"/>
              </w:rPr>
              <w:t>2017</w:t>
            </w:r>
          </w:p>
        </w:tc>
        <w:tc>
          <w:tcPr>
            <w:tcW w:w="160"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sz w:val="20"/>
                <w:szCs w:val="20"/>
              </w:rPr>
            </w:pPr>
          </w:p>
        </w:tc>
        <w:tc>
          <w:tcPr>
            <w:tcW w:w="1216"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c>
          <w:tcPr>
            <w:tcW w:w="1216"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r>
      <w:tr w:rsidR="00477873" w:rsidRPr="00477873" w:rsidTr="002F3C95">
        <w:trPr>
          <w:trHeight w:val="330"/>
        </w:trPr>
        <w:tc>
          <w:tcPr>
            <w:tcW w:w="3026"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c>
          <w:tcPr>
            <w:tcW w:w="2226"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c>
          <w:tcPr>
            <w:tcW w:w="160"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c>
          <w:tcPr>
            <w:tcW w:w="1216"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c>
          <w:tcPr>
            <w:tcW w:w="1216" w:type="dxa"/>
            <w:tcBorders>
              <w:top w:val="nil"/>
              <w:left w:val="nil"/>
              <w:bottom w:val="nil"/>
              <w:right w:val="nil"/>
            </w:tcBorders>
            <w:shd w:val="clear" w:color="auto" w:fill="auto"/>
            <w:noWrap/>
            <w:vAlign w:val="bottom"/>
            <w:hideMark/>
          </w:tcPr>
          <w:p w:rsidR="00477873" w:rsidRPr="00477873" w:rsidRDefault="00477873" w:rsidP="00477873">
            <w:pPr>
              <w:rPr>
                <w:rFonts w:ascii="Courier" w:hAnsi="Courier"/>
              </w:rPr>
            </w:pPr>
          </w:p>
        </w:tc>
      </w:tr>
      <w:tr w:rsidR="00477873" w:rsidRPr="00477873" w:rsidTr="002F3C95">
        <w:trPr>
          <w:trHeight w:val="402"/>
        </w:trPr>
        <w:tc>
          <w:tcPr>
            <w:tcW w:w="3026" w:type="dxa"/>
            <w:tcBorders>
              <w:top w:val="single" w:sz="8" w:space="0" w:color="auto"/>
              <w:left w:val="single" w:sz="8" w:space="0" w:color="auto"/>
              <w:bottom w:val="single" w:sz="8" w:space="0" w:color="auto"/>
              <w:right w:val="single" w:sz="8" w:space="0" w:color="auto"/>
            </w:tcBorders>
            <w:shd w:val="clear" w:color="000000" w:fill="FF0000"/>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in 000 EUR</w:t>
            </w:r>
          </w:p>
        </w:tc>
        <w:tc>
          <w:tcPr>
            <w:tcW w:w="2226" w:type="dxa"/>
            <w:tcBorders>
              <w:top w:val="single" w:sz="8" w:space="0" w:color="auto"/>
              <w:left w:val="nil"/>
              <w:bottom w:val="single" w:sz="8" w:space="0" w:color="auto"/>
              <w:right w:val="single" w:sz="8" w:space="0" w:color="auto"/>
            </w:tcBorders>
            <w:shd w:val="clear" w:color="000000" w:fill="FF0000"/>
            <w:noWrap/>
            <w:vAlign w:val="bottom"/>
            <w:hideMark/>
          </w:tcPr>
          <w:p w:rsidR="00477873" w:rsidRPr="00477873" w:rsidRDefault="00477873" w:rsidP="00477873">
            <w:pPr>
              <w:jc w:val="center"/>
              <w:rPr>
                <w:rFonts w:ascii="Arial" w:hAnsi="Arial" w:cs="Arial"/>
                <w:b/>
                <w:bCs/>
                <w:sz w:val="18"/>
                <w:szCs w:val="18"/>
              </w:rPr>
            </w:pPr>
            <w:r w:rsidRPr="00477873">
              <w:rPr>
                <w:rFonts w:ascii="Arial" w:hAnsi="Arial" w:cs="Arial"/>
                <w:b/>
                <w:bCs/>
                <w:sz w:val="18"/>
                <w:szCs w:val="18"/>
              </w:rPr>
              <w:t xml:space="preserve">2017 </w:t>
            </w:r>
          </w:p>
        </w:tc>
        <w:tc>
          <w:tcPr>
            <w:tcW w:w="160" w:type="dxa"/>
            <w:tcBorders>
              <w:top w:val="single" w:sz="8" w:space="0" w:color="auto"/>
              <w:left w:val="nil"/>
              <w:bottom w:val="single" w:sz="8" w:space="0" w:color="auto"/>
              <w:right w:val="single" w:sz="8" w:space="0" w:color="auto"/>
            </w:tcBorders>
            <w:shd w:val="clear" w:color="000000" w:fill="FF0000"/>
            <w:noWrap/>
            <w:vAlign w:val="bottom"/>
            <w:hideMark/>
          </w:tcPr>
          <w:p w:rsidR="00477873" w:rsidRPr="00477873" w:rsidRDefault="00477873" w:rsidP="00477873">
            <w:pPr>
              <w:jc w:val="center"/>
              <w:rPr>
                <w:rFonts w:ascii="Arial" w:hAnsi="Arial" w:cs="Arial"/>
                <w:b/>
                <w:bCs/>
                <w:sz w:val="18"/>
                <w:szCs w:val="18"/>
              </w:rPr>
            </w:pPr>
            <w:r w:rsidRPr="00477873">
              <w:rPr>
                <w:rFonts w:ascii="Arial" w:hAnsi="Arial" w:cs="Arial"/>
                <w:b/>
                <w:bCs/>
                <w:sz w:val="18"/>
                <w:szCs w:val="18"/>
              </w:rPr>
              <w:t xml:space="preserve">2016 </w:t>
            </w:r>
          </w:p>
        </w:tc>
        <w:tc>
          <w:tcPr>
            <w:tcW w:w="1216" w:type="dxa"/>
            <w:tcBorders>
              <w:top w:val="single" w:sz="8" w:space="0" w:color="auto"/>
              <w:left w:val="nil"/>
              <w:bottom w:val="single" w:sz="8" w:space="0" w:color="auto"/>
              <w:right w:val="single" w:sz="8" w:space="0" w:color="auto"/>
            </w:tcBorders>
            <w:shd w:val="clear" w:color="000000" w:fill="FF0000"/>
            <w:noWrap/>
            <w:vAlign w:val="bottom"/>
            <w:hideMark/>
          </w:tcPr>
          <w:p w:rsidR="00477873" w:rsidRPr="00477873" w:rsidRDefault="00477873" w:rsidP="00477873">
            <w:pPr>
              <w:jc w:val="center"/>
              <w:rPr>
                <w:rFonts w:ascii="Arial" w:hAnsi="Arial" w:cs="Arial"/>
                <w:b/>
                <w:bCs/>
                <w:sz w:val="18"/>
                <w:szCs w:val="18"/>
              </w:rPr>
            </w:pPr>
            <w:r w:rsidRPr="00477873">
              <w:rPr>
                <w:rFonts w:ascii="Arial" w:hAnsi="Arial" w:cs="Arial"/>
                <w:b/>
                <w:bCs/>
                <w:sz w:val="18"/>
                <w:szCs w:val="18"/>
              </w:rPr>
              <w:t>Difference</w:t>
            </w:r>
          </w:p>
        </w:tc>
        <w:tc>
          <w:tcPr>
            <w:tcW w:w="1216" w:type="dxa"/>
            <w:tcBorders>
              <w:top w:val="single" w:sz="8" w:space="0" w:color="auto"/>
              <w:left w:val="nil"/>
              <w:bottom w:val="single" w:sz="8" w:space="0" w:color="auto"/>
              <w:right w:val="single" w:sz="8" w:space="0" w:color="auto"/>
            </w:tcBorders>
            <w:shd w:val="clear" w:color="000000" w:fill="FF0000"/>
            <w:noWrap/>
            <w:vAlign w:val="bottom"/>
            <w:hideMark/>
          </w:tcPr>
          <w:p w:rsidR="00477873" w:rsidRPr="00477873" w:rsidRDefault="00477873" w:rsidP="00477873">
            <w:pPr>
              <w:jc w:val="center"/>
              <w:rPr>
                <w:rFonts w:ascii="Arial" w:hAnsi="Arial" w:cs="Arial"/>
                <w:b/>
                <w:bCs/>
                <w:sz w:val="18"/>
                <w:szCs w:val="18"/>
              </w:rPr>
            </w:pPr>
            <w:r w:rsidRPr="00477873">
              <w:rPr>
                <w:rFonts w:ascii="Arial" w:hAnsi="Arial" w:cs="Arial"/>
                <w:b/>
                <w:bCs/>
                <w:sz w:val="18"/>
                <w:szCs w:val="18"/>
              </w:rPr>
              <w:t>Change (%)</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auto" w:fill="auto"/>
            <w:noWrap/>
            <w:vAlign w:val="bottom"/>
            <w:hideMark/>
          </w:tcPr>
          <w:p w:rsidR="00477873" w:rsidRPr="00477873" w:rsidRDefault="00477873" w:rsidP="00477873">
            <w:pPr>
              <w:rPr>
                <w:rFonts w:ascii="Arial" w:hAnsi="Arial" w:cs="Arial"/>
                <w:sz w:val="18"/>
                <w:szCs w:val="18"/>
              </w:rPr>
            </w:pPr>
            <w:r w:rsidRPr="00477873">
              <w:rPr>
                <w:rFonts w:ascii="Arial" w:hAnsi="Arial" w:cs="Arial"/>
                <w:sz w:val="18"/>
                <w:szCs w:val="18"/>
              </w:rPr>
              <w:t>Net interest income</w:t>
            </w:r>
          </w:p>
        </w:tc>
        <w:tc>
          <w:tcPr>
            <w:tcW w:w="222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78.026</w:t>
            </w:r>
          </w:p>
        </w:tc>
        <w:tc>
          <w:tcPr>
            <w:tcW w:w="160"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73.091</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4.935</w:t>
            </w:r>
          </w:p>
        </w:tc>
        <w:tc>
          <w:tcPr>
            <w:tcW w:w="1216" w:type="dxa"/>
            <w:tcBorders>
              <w:top w:val="nil"/>
              <w:left w:val="nil"/>
              <w:bottom w:val="single" w:sz="8" w:space="0" w:color="auto"/>
              <w:right w:val="single" w:sz="8" w:space="0" w:color="auto"/>
            </w:tcBorders>
            <w:shd w:val="clear" w:color="auto" w:fill="auto"/>
            <w:noWrap/>
            <w:vAlign w:val="bottom"/>
            <w:hideMark/>
          </w:tcPr>
          <w:p w:rsidR="001638D0" w:rsidRDefault="00477873">
            <w:pPr>
              <w:jc w:val="right"/>
              <w:rPr>
                <w:rFonts w:ascii="Arial" w:hAnsi="Arial" w:cs="Arial"/>
                <w:sz w:val="18"/>
                <w:szCs w:val="18"/>
              </w:rPr>
            </w:pPr>
            <w:r w:rsidRPr="00477873">
              <w:rPr>
                <w:rFonts w:ascii="Arial" w:hAnsi="Arial" w:cs="Arial"/>
                <w:sz w:val="18"/>
                <w:szCs w:val="18"/>
              </w:rPr>
              <w:t>6</w:t>
            </w:r>
            <w:r w:rsidR="00585CD9">
              <w:rPr>
                <w:rFonts w:ascii="Arial" w:hAnsi="Arial" w:cs="Arial"/>
                <w:sz w:val="18"/>
                <w:szCs w:val="18"/>
              </w:rPr>
              <w:t>.</w:t>
            </w:r>
            <w:r w:rsidRPr="00477873">
              <w:rPr>
                <w:rFonts w:ascii="Arial" w:hAnsi="Arial" w:cs="Arial"/>
                <w:sz w:val="18"/>
                <w:szCs w:val="18"/>
              </w:rPr>
              <w:t>8%</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auto" w:fill="auto"/>
            <w:noWrap/>
            <w:vAlign w:val="bottom"/>
            <w:hideMark/>
          </w:tcPr>
          <w:p w:rsidR="00477873" w:rsidRPr="00477873" w:rsidRDefault="00477873" w:rsidP="00477873">
            <w:pPr>
              <w:rPr>
                <w:rFonts w:ascii="Arial" w:hAnsi="Arial" w:cs="Arial"/>
                <w:sz w:val="18"/>
                <w:szCs w:val="18"/>
              </w:rPr>
            </w:pPr>
            <w:r w:rsidRPr="00477873">
              <w:rPr>
                <w:rFonts w:ascii="Arial" w:hAnsi="Arial" w:cs="Arial"/>
                <w:sz w:val="18"/>
                <w:szCs w:val="18"/>
              </w:rPr>
              <w:t>Net non-interest income</w:t>
            </w:r>
          </w:p>
        </w:tc>
        <w:tc>
          <w:tcPr>
            <w:tcW w:w="222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32.705</w:t>
            </w:r>
          </w:p>
        </w:tc>
        <w:tc>
          <w:tcPr>
            <w:tcW w:w="160"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44.410</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-11.705</w:t>
            </w:r>
          </w:p>
        </w:tc>
        <w:tc>
          <w:tcPr>
            <w:tcW w:w="1216" w:type="dxa"/>
            <w:tcBorders>
              <w:top w:val="nil"/>
              <w:left w:val="nil"/>
              <w:bottom w:val="single" w:sz="8" w:space="0" w:color="auto"/>
              <w:right w:val="single" w:sz="8" w:space="0" w:color="auto"/>
            </w:tcBorders>
            <w:shd w:val="clear" w:color="auto" w:fill="auto"/>
            <w:noWrap/>
            <w:vAlign w:val="bottom"/>
            <w:hideMark/>
          </w:tcPr>
          <w:p w:rsidR="001638D0" w:rsidRDefault="00477873">
            <w:pPr>
              <w:jc w:val="right"/>
              <w:rPr>
                <w:rFonts w:ascii="Arial" w:hAnsi="Arial" w:cs="Arial"/>
                <w:b/>
                <w:bCs/>
                <w:color w:val="000000"/>
                <w:sz w:val="18"/>
                <w:szCs w:val="18"/>
                <w:lang w:val="de-DE"/>
              </w:rPr>
            </w:pPr>
            <w:r w:rsidRPr="00477873">
              <w:rPr>
                <w:rFonts w:ascii="Arial" w:hAnsi="Arial" w:cs="Arial"/>
                <w:sz w:val="18"/>
                <w:szCs w:val="18"/>
              </w:rPr>
              <w:t>-26</w:t>
            </w:r>
            <w:r w:rsidR="00585CD9">
              <w:rPr>
                <w:rFonts w:ascii="Arial" w:hAnsi="Arial" w:cs="Arial"/>
                <w:sz w:val="18"/>
                <w:szCs w:val="18"/>
              </w:rPr>
              <w:t>.</w:t>
            </w:r>
            <w:r w:rsidRPr="00477873">
              <w:rPr>
                <w:rFonts w:ascii="Arial" w:hAnsi="Arial" w:cs="Arial"/>
                <w:sz w:val="18"/>
                <w:szCs w:val="18"/>
              </w:rPr>
              <w:t>4%</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477873" w:rsidRPr="00477873" w:rsidRDefault="00477873" w:rsidP="00477873">
            <w:pPr>
              <w:rPr>
                <w:rFonts w:ascii="Arial" w:hAnsi="Arial" w:cs="Arial"/>
                <w:b/>
                <w:bCs/>
                <w:sz w:val="18"/>
                <w:szCs w:val="18"/>
              </w:rPr>
            </w:pPr>
            <w:r w:rsidRPr="00477873">
              <w:rPr>
                <w:rFonts w:ascii="Arial" w:hAnsi="Arial" w:cs="Arial"/>
                <w:b/>
                <w:bCs/>
                <w:sz w:val="18"/>
                <w:szCs w:val="18"/>
              </w:rPr>
              <w:t>Net banking income</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110.731</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117.501</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-6.770</w:t>
            </w:r>
          </w:p>
        </w:tc>
        <w:tc>
          <w:tcPr>
            <w:tcW w:w="1216" w:type="dxa"/>
            <w:tcBorders>
              <w:top w:val="nil"/>
              <w:left w:val="nil"/>
              <w:bottom w:val="single" w:sz="8" w:space="0" w:color="auto"/>
              <w:right w:val="single" w:sz="8" w:space="0" w:color="auto"/>
            </w:tcBorders>
            <w:shd w:val="clear" w:color="000000" w:fill="D8D8D8"/>
            <w:noWrap/>
            <w:vAlign w:val="bottom"/>
            <w:hideMark/>
          </w:tcPr>
          <w:p w:rsidR="001638D0" w:rsidRDefault="00477873">
            <w:pPr>
              <w:jc w:val="right"/>
              <w:rPr>
                <w:rFonts w:ascii="Arial" w:hAnsi="Arial" w:cs="Arial"/>
                <w:b/>
                <w:bCs/>
                <w:color w:val="000000"/>
                <w:sz w:val="18"/>
                <w:szCs w:val="18"/>
                <w:lang w:val="de-DE"/>
              </w:rPr>
            </w:pPr>
            <w:r w:rsidRPr="00477873">
              <w:rPr>
                <w:rFonts w:ascii="Arial" w:hAnsi="Arial" w:cs="Arial"/>
                <w:b/>
                <w:bCs/>
                <w:sz w:val="18"/>
                <w:szCs w:val="18"/>
              </w:rPr>
              <w:t>-5</w:t>
            </w:r>
            <w:r w:rsidR="00585CD9">
              <w:rPr>
                <w:rFonts w:ascii="Arial" w:hAnsi="Arial" w:cs="Arial"/>
                <w:b/>
                <w:bCs/>
                <w:sz w:val="18"/>
                <w:szCs w:val="18"/>
              </w:rPr>
              <w:t>.</w:t>
            </w:r>
            <w:r w:rsidRPr="00477873">
              <w:rPr>
                <w:rFonts w:ascii="Arial" w:hAnsi="Arial" w:cs="Arial"/>
                <w:b/>
                <w:bCs/>
                <w:sz w:val="18"/>
                <w:szCs w:val="18"/>
              </w:rPr>
              <w:t>8%</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1D4065" w:rsidRDefault="00477873">
            <w:pPr>
              <w:rPr>
                <w:rFonts w:ascii="Arial" w:hAnsi="Arial" w:cs="Arial"/>
                <w:b/>
                <w:bCs/>
                <w:i/>
                <w:iCs/>
                <w:sz w:val="18"/>
                <w:szCs w:val="18"/>
              </w:rPr>
            </w:pPr>
            <w:r w:rsidRPr="00477873">
              <w:rPr>
                <w:rFonts w:ascii="Arial" w:hAnsi="Arial" w:cs="Arial"/>
                <w:b/>
                <w:bCs/>
                <w:i/>
                <w:iCs/>
                <w:sz w:val="18"/>
                <w:szCs w:val="18"/>
              </w:rPr>
              <w:t xml:space="preserve">Net banking </w:t>
            </w:r>
            <w:r w:rsidR="00504BF7" w:rsidRPr="00477873">
              <w:rPr>
                <w:rFonts w:ascii="Arial" w:hAnsi="Arial" w:cs="Arial"/>
                <w:b/>
                <w:bCs/>
                <w:i/>
                <w:iCs/>
                <w:sz w:val="18"/>
                <w:szCs w:val="18"/>
              </w:rPr>
              <w:t>income</w:t>
            </w:r>
            <w:r w:rsidR="00504BF7">
              <w:rPr>
                <w:rFonts w:ascii="Arial" w:hAnsi="Arial" w:cs="Arial"/>
                <w:b/>
                <w:bCs/>
                <w:i/>
                <w:iCs/>
                <w:sz w:val="18"/>
                <w:szCs w:val="18"/>
                <w:vertAlign w:val="superscript"/>
              </w:rPr>
              <w:t>2</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109.552</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107.634</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1.918</w:t>
            </w:r>
          </w:p>
        </w:tc>
        <w:tc>
          <w:tcPr>
            <w:tcW w:w="1216" w:type="dxa"/>
            <w:tcBorders>
              <w:top w:val="nil"/>
              <w:left w:val="nil"/>
              <w:bottom w:val="single" w:sz="8" w:space="0" w:color="auto"/>
              <w:right w:val="single" w:sz="8" w:space="0" w:color="auto"/>
            </w:tcBorders>
            <w:shd w:val="clear" w:color="000000" w:fill="D8D8D8"/>
            <w:noWrap/>
            <w:vAlign w:val="bottom"/>
            <w:hideMark/>
          </w:tcPr>
          <w:p w:rsidR="001638D0" w:rsidRDefault="00477873">
            <w:pPr>
              <w:jc w:val="right"/>
              <w:rPr>
                <w:rFonts w:ascii="Arial" w:hAnsi="Arial" w:cs="Arial"/>
                <w:b/>
                <w:bCs/>
                <w:i/>
                <w:iCs/>
                <w:color w:val="000000"/>
                <w:sz w:val="18"/>
                <w:szCs w:val="18"/>
                <w:lang w:val="de-DE"/>
              </w:rPr>
            </w:pPr>
            <w:r w:rsidRPr="00477873">
              <w:rPr>
                <w:rFonts w:ascii="Arial" w:hAnsi="Arial" w:cs="Arial"/>
                <w:b/>
                <w:bCs/>
                <w:i/>
                <w:iCs/>
                <w:sz w:val="18"/>
                <w:szCs w:val="18"/>
              </w:rPr>
              <w:t>1</w:t>
            </w:r>
            <w:r w:rsidR="00585CD9">
              <w:rPr>
                <w:rFonts w:ascii="Arial" w:hAnsi="Arial" w:cs="Arial"/>
                <w:b/>
                <w:bCs/>
                <w:i/>
                <w:iCs/>
                <w:sz w:val="18"/>
                <w:szCs w:val="18"/>
              </w:rPr>
              <w:t>.</w:t>
            </w:r>
            <w:r w:rsidRPr="00477873">
              <w:rPr>
                <w:rFonts w:ascii="Arial" w:hAnsi="Arial" w:cs="Arial"/>
                <w:b/>
                <w:bCs/>
                <w:i/>
                <w:iCs/>
                <w:sz w:val="18"/>
                <w:szCs w:val="18"/>
              </w:rPr>
              <w:t>8%</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auto" w:fill="auto"/>
            <w:noWrap/>
            <w:vAlign w:val="bottom"/>
            <w:hideMark/>
          </w:tcPr>
          <w:p w:rsidR="00477873" w:rsidRPr="00477873" w:rsidRDefault="00477873" w:rsidP="00477873">
            <w:pPr>
              <w:rPr>
                <w:rFonts w:ascii="Arial" w:hAnsi="Arial" w:cs="Arial"/>
                <w:sz w:val="18"/>
                <w:szCs w:val="18"/>
              </w:rPr>
            </w:pPr>
            <w:r w:rsidRPr="00477873">
              <w:rPr>
                <w:rFonts w:ascii="Arial" w:hAnsi="Arial" w:cs="Arial"/>
                <w:sz w:val="18"/>
                <w:szCs w:val="18"/>
              </w:rPr>
              <w:t>Overhead expenses</w:t>
            </w:r>
          </w:p>
        </w:tc>
        <w:tc>
          <w:tcPr>
            <w:tcW w:w="222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-58.223</w:t>
            </w:r>
          </w:p>
        </w:tc>
        <w:tc>
          <w:tcPr>
            <w:tcW w:w="160"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-56.179</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-2.044</w:t>
            </w:r>
          </w:p>
        </w:tc>
        <w:tc>
          <w:tcPr>
            <w:tcW w:w="1216" w:type="dxa"/>
            <w:tcBorders>
              <w:top w:val="nil"/>
              <w:left w:val="nil"/>
              <w:bottom w:val="single" w:sz="8" w:space="0" w:color="auto"/>
              <w:right w:val="single" w:sz="8" w:space="0" w:color="auto"/>
            </w:tcBorders>
            <w:shd w:val="clear" w:color="auto" w:fill="auto"/>
            <w:noWrap/>
            <w:vAlign w:val="bottom"/>
            <w:hideMark/>
          </w:tcPr>
          <w:p w:rsidR="001638D0" w:rsidRDefault="00477873">
            <w:pPr>
              <w:jc w:val="right"/>
              <w:rPr>
                <w:rFonts w:ascii="Arial" w:hAnsi="Arial" w:cs="Arial"/>
                <w:b/>
                <w:bCs/>
                <w:color w:val="000000"/>
                <w:sz w:val="18"/>
                <w:szCs w:val="18"/>
                <w:lang w:val="de-DE"/>
              </w:rPr>
            </w:pPr>
            <w:r w:rsidRPr="00477873">
              <w:rPr>
                <w:rFonts w:ascii="Arial" w:hAnsi="Arial" w:cs="Arial"/>
                <w:sz w:val="18"/>
                <w:szCs w:val="18"/>
              </w:rPr>
              <w:t>3</w:t>
            </w:r>
            <w:r w:rsidR="00585CD9">
              <w:rPr>
                <w:rFonts w:ascii="Arial" w:hAnsi="Arial" w:cs="Arial"/>
                <w:sz w:val="18"/>
                <w:szCs w:val="18"/>
              </w:rPr>
              <w:t>.</w:t>
            </w:r>
            <w:r w:rsidRPr="00477873">
              <w:rPr>
                <w:rFonts w:ascii="Arial" w:hAnsi="Arial" w:cs="Arial"/>
                <w:sz w:val="18"/>
                <w:szCs w:val="18"/>
              </w:rPr>
              <w:t>6%</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477873" w:rsidRPr="00477873" w:rsidRDefault="00477873" w:rsidP="00477873">
            <w:pPr>
              <w:rPr>
                <w:rFonts w:ascii="Arial" w:hAnsi="Arial" w:cs="Arial"/>
                <w:b/>
                <w:bCs/>
                <w:sz w:val="18"/>
                <w:szCs w:val="18"/>
              </w:rPr>
            </w:pPr>
            <w:r w:rsidRPr="00477873">
              <w:rPr>
                <w:rFonts w:ascii="Arial" w:hAnsi="Arial" w:cs="Arial"/>
                <w:b/>
                <w:bCs/>
                <w:sz w:val="18"/>
                <w:szCs w:val="18"/>
              </w:rPr>
              <w:t>Gross operating income</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52.508</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61.322</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-8.814</w:t>
            </w:r>
          </w:p>
        </w:tc>
        <w:tc>
          <w:tcPr>
            <w:tcW w:w="1216" w:type="dxa"/>
            <w:tcBorders>
              <w:top w:val="nil"/>
              <w:left w:val="nil"/>
              <w:bottom w:val="single" w:sz="8" w:space="0" w:color="auto"/>
              <w:right w:val="single" w:sz="8" w:space="0" w:color="auto"/>
            </w:tcBorders>
            <w:shd w:val="clear" w:color="000000" w:fill="D8D8D8"/>
            <w:noWrap/>
            <w:vAlign w:val="bottom"/>
            <w:hideMark/>
          </w:tcPr>
          <w:p w:rsidR="001638D0" w:rsidRDefault="00477873">
            <w:pPr>
              <w:jc w:val="right"/>
              <w:rPr>
                <w:rFonts w:ascii="Arial" w:hAnsi="Arial" w:cs="Arial"/>
                <w:b/>
                <w:bCs/>
                <w:sz w:val="18"/>
                <w:szCs w:val="18"/>
              </w:rPr>
            </w:pPr>
            <w:r w:rsidRPr="00477873">
              <w:rPr>
                <w:rFonts w:ascii="Arial" w:hAnsi="Arial" w:cs="Arial"/>
                <w:b/>
                <w:bCs/>
                <w:sz w:val="18"/>
                <w:szCs w:val="18"/>
              </w:rPr>
              <w:t>-14</w:t>
            </w:r>
            <w:r w:rsidR="00585CD9">
              <w:rPr>
                <w:rFonts w:ascii="Arial" w:hAnsi="Arial" w:cs="Arial"/>
                <w:b/>
                <w:bCs/>
                <w:sz w:val="18"/>
                <w:szCs w:val="18"/>
              </w:rPr>
              <w:t>.</w:t>
            </w:r>
            <w:r w:rsidRPr="00477873">
              <w:rPr>
                <w:rFonts w:ascii="Arial" w:hAnsi="Arial" w:cs="Arial"/>
                <w:b/>
                <w:bCs/>
                <w:sz w:val="18"/>
                <w:szCs w:val="18"/>
              </w:rPr>
              <w:t>4%</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1D4065" w:rsidRDefault="00477873">
            <w:pPr>
              <w:rPr>
                <w:rFonts w:ascii="Arial" w:hAnsi="Arial" w:cs="Arial"/>
                <w:b/>
                <w:bCs/>
                <w:i/>
                <w:iCs/>
                <w:color w:val="000000"/>
                <w:sz w:val="18"/>
                <w:szCs w:val="18"/>
                <w:lang w:val="de-DE"/>
              </w:rPr>
            </w:pPr>
            <w:r w:rsidRPr="00477873">
              <w:rPr>
                <w:rFonts w:ascii="Arial" w:hAnsi="Arial" w:cs="Arial"/>
                <w:b/>
                <w:bCs/>
                <w:i/>
                <w:iCs/>
                <w:sz w:val="18"/>
                <w:szCs w:val="18"/>
              </w:rPr>
              <w:t xml:space="preserve">Gross operating </w:t>
            </w:r>
            <w:r w:rsidR="00504BF7" w:rsidRPr="00477873">
              <w:rPr>
                <w:rFonts w:ascii="Arial" w:hAnsi="Arial" w:cs="Arial"/>
                <w:b/>
                <w:bCs/>
                <w:i/>
                <w:iCs/>
                <w:sz w:val="18"/>
                <w:szCs w:val="18"/>
              </w:rPr>
              <w:t>income</w:t>
            </w:r>
            <w:r w:rsidR="00504BF7">
              <w:rPr>
                <w:rFonts w:ascii="Arial" w:hAnsi="Arial" w:cs="Arial"/>
                <w:b/>
                <w:bCs/>
                <w:i/>
                <w:iCs/>
                <w:sz w:val="18"/>
                <w:szCs w:val="18"/>
                <w:vertAlign w:val="superscript"/>
              </w:rPr>
              <w:t>2</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51.329</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51.455</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-126</w:t>
            </w:r>
          </w:p>
        </w:tc>
        <w:tc>
          <w:tcPr>
            <w:tcW w:w="1216" w:type="dxa"/>
            <w:tcBorders>
              <w:top w:val="nil"/>
              <w:left w:val="nil"/>
              <w:bottom w:val="single" w:sz="8" w:space="0" w:color="auto"/>
              <w:right w:val="single" w:sz="8" w:space="0" w:color="auto"/>
            </w:tcBorders>
            <w:shd w:val="clear" w:color="000000" w:fill="D8D8D8"/>
            <w:noWrap/>
            <w:vAlign w:val="bottom"/>
            <w:hideMark/>
          </w:tcPr>
          <w:p w:rsidR="001638D0" w:rsidRDefault="00477873">
            <w:pPr>
              <w:jc w:val="right"/>
              <w:rPr>
                <w:rFonts w:ascii="Arial" w:hAnsi="Arial" w:cs="Arial"/>
                <w:b/>
                <w:bCs/>
                <w:i/>
                <w:iCs/>
                <w:sz w:val="18"/>
                <w:szCs w:val="18"/>
              </w:rPr>
            </w:pPr>
            <w:r w:rsidRPr="00477873">
              <w:rPr>
                <w:rFonts w:ascii="Arial" w:hAnsi="Arial" w:cs="Arial"/>
                <w:b/>
                <w:bCs/>
                <w:i/>
                <w:iCs/>
                <w:sz w:val="18"/>
                <w:szCs w:val="18"/>
              </w:rPr>
              <w:t>-0</w:t>
            </w:r>
            <w:r w:rsidR="00585CD9">
              <w:rPr>
                <w:rFonts w:ascii="Arial" w:hAnsi="Arial" w:cs="Arial"/>
                <w:b/>
                <w:bCs/>
                <w:i/>
                <w:iCs/>
                <w:sz w:val="18"/>
                <w:szCs w:val="18"/>
              </w:rPr>
              <w:t>.</w:t>
            </w:r>
            <w:r w:rsidRPr="00477873">
              <w:rPr>
                <w:rFonts w:ascii="Arial" w:hAnsi="Arial" w:cs="Arial"/>
                <w:b/>
                <w:bCs/>
                <w:i/>
                <w:iCs/>
                <w:sz w:val="18"/>
                <w:szCs w:val="18"/>
              </w:rPr>
              <w:t>2%</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auto" w:fill="auto"/>
            <w:noWrap/>
            <w:vAlign w:val="bottom"/>
            <w:hideMark/>
          </w:tcPr>
          <w:p w:rsidR="00477873" w:rsidRPr="00477873" w:rsidRDefault="00477873" w:rsidP="00477873">
            <w:pPr>
              <w:rPr>
                <w:rFonts w:ascii="Arial" w:hAnsi="Arial" w:cs="Arial"/>
                <w:sz w:val="18"/>
                <w:szCs w:val="18"/>
              </w:rPr>
            </w:pPr>
            <w:r w:rsidRPr="00477873">
              <w:rPr>
                <w:rFonts w:ascii="Arial" w:hAnsi="Arial" w:cs="Arial"/>
                <w:sz w:val="18"/>
                <w:szCs w:val="18"/>
              </w:rPr>
              <w:t>Provisions and impairments</w:t>
            </w:r>
          </w:p>
        </w:tc>
        <w:tc>
          <w:tcPr>
            <w:tcW w:w="222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485</w:t>
            </w:r>
          </w:p>
        </w:tc>
        <w:tc>
          <w:tcPr>
            <w:tcW w:w="160"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15.534</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-15.049</w:t>
            </w:r>
          </w:p>
        </w:tc>
        <w:tc>
          <w:tcPr>
            <w:tcW w:w="1216" w:type="dxa"/>
            <w:tcBorders>
              <w:top w:val="nil"/>
              <w:left w:val="nil"/>
              <w:bottom w:val="single" w:sz="8" w:space="0" w:color="auto"/>
              <w:right w:val="single" w:sz="8" w:space="0" w:color="auto"/>
            </w:tcBorders>
            <w:shd w:val="clear" w:color="auto" w:fill="auto"/>
            <w:noWrap/>
            <w:vAlign w:val="bottom"/>
            <w:hideMark/>
          </w:tcPr>
          <w:p w:rsidR="001638D0" w:rsidRDefault="00477873">
            <w:pPr>
              <w:jc w:val="right"/>
              <w:rPr>
                <w:rFonts w:ascii="Arial" w:hAnsi="Arial" w:cs="Arial"/>
                <w:sz w:val="18"/>
                <w:szCs w:val="18"/>
              </w:rPr>
            </w:pPr>
            <w:r w:rsidRPr="00477873">
              <w:rPr>
                <w:rFonts w:ascii="Arial" w:hAnsi="Arial" w:cs="Arial"/>
                <w:sz w:val="18"/>
                <w:szCs w:val="18"/>
              </w:rPr>
              <w:t>-96</w:t>
            </w:r>
            <w:r w:rsidR="00585CD9">
              <w:rPr>
                <w:rFonts w:ascii="Arial" w:hAnsi="Arial" w:cs="Arial"/>
                <w:sz w:val="18"/>
                <w:szCs w:val="18"/>
              </w:rPr>
              <w:t>.</w:t>
            </w:r>
            <w:r w:rsidRPr="00477873">
              <w:rPr>
                <w:rFonts w:ascii="Arial" w:hAnsi="Arial" w:cs="Arial"/>
                <w:sz w:val="18"/>
                <w:szCs w:val="18"/>
              </w:rPr>
              <w:t>9%</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auto" w:fill="auto"/>
            <w:noWrap/>
            <w:vAlign w:val="bottom"/>
            <w:hideMark/>
          </w:tcPr>
          <w:p w:rsidR="00477873" w:rsidRPr="00477873" w:rsidRDefault="00477873" w:rsidP="00477873">
            <w:pPr>
              <w:rPr>
                <w:rFonts w:ascii="Arial" w:hAnsi="Arial" w:cs="Arial"/>
                <w:sz w:val="18"/>
                <w:szCs w:val="18"/>
              </w:rPr>
            </w:pPr>
            <w:r w:rsidRPr="00477873">
              <w:rPr>
                <w:rFonts w:ascii="Arial" w:hAnsi="Arial" w:cs="Arial"/>
                <w:sz w:val="18"/>
                <w:szCs w:val="18"/>
              </w:rPr>
              <w:t>Other</w:t>
            </w:r>
          </w:p>
        </w:tc>
        <w:tc>
          <w:tcPr>
            <w:tcW w:w="222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60</w:t>
            </w:r>
          </w:p>
        </w:tc>
        <w:tc>
          <w:tcPr>
            <w:tcW w:w="160"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-420</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480</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-114</w:t>
            </w:r>
            <w:r w:rsidR="00585CD9">
              <w:rPr>
                <w:rFonts w:ascii="Arial" w:hAnsi="Arial" w:cs="Arial"/>
                <w:sz w:val="18"/>
                <w:szCs w:val="18"/>
              </w:rPr>
              <w:t>.</w:t>
            </w:r>
            <w:r w:rsidRPr="00477873">
              <w:rPr>
                <w:rFonts w:ascii="Arial" w:hAnsi="Arial" w:cs="Arial"/>
                <w:sz w:val="18"/>
                <w:szCs w:val="18"/>
              </w:rPr>
              <w:t>3%</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477873" w:rsidRPr="00477873" w:rsidRDefault="00477873" w:rsidP="00477873">
            <w:pPr>
              <w:rPr>
                <w:rFonts w:ascii="Arial" w:hAnsi="Arial" w:cs="Arial"/>
                <w:b/>
                <w:bCs/>
                <w:sz w:val="18"/>
                <w:szCs w:val="18"/>
              </w:rPr>
            </w:pPr>
            <w:r w:rsidRPr="00477873">
              <w:rPr>
                <w:rFonts w:ascii="Arial" w:hAnsi="Arial" w:cs="Arial"/>
                <w:b/>
                <w:bCs/>
                <w:sz w:val="18"/>
                <w:szCs w:val="18"/>
              </w:rPr>
              <w:t>Profit before tax</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53.053</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76.436</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-23.383</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-30</w:t>
            </w:r>
            <w:r w:rsidR="00585CD9">
              <w:rPr>
                <w:rFonts w:ascii="Arial" w:hAnsi="Arial" w:cs="Arial"/>
                <w:b/>
                <w:bCs/>
                <w:sz w:val="18"/>
                <w:szCs w:val="18"/>
              </w:rPr>
              <w:t>.</w:t>
            </w:r>
            <w:r w:rsidRPr="00477873">
              <w:rPr>
                <w:rFonts w:ascii="Arial" w:hAnsi="Arial" w:cs="Arial"/>
                <w:b/>
                <w:bCs/>
                <w:sz w:val="18"/>
                <w:szCs w:val="18"/>
              </w:rPr>
              <w:t>6%</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1D4065" w:rsidRDefault="00477873">
            <w:pPr>
              <w:rPr>
                <w:rFonts w:ascii="Arial" w:hAnsi="Arial" w:cs="Arial"/>
                <w:b/>
                <w:bCs/>
                <w:i/>
                <w:iCs/>
                <w:sz w:val="18"/>
                <w:szCs w:val="18"/>
              </w:rPr>
            </w:pPr>
            <w:r w:rsidRPr="00477873">
              <w:rPr>
                <w:rFonts w:ascii="Arial" w:hAnsi="Arial" w:cs="Arial"/>
                <w:b/>
                <w:bCs/>
                <w:i/>
                <w:iCs/>
                <w:sz w:val="18"/>
                <w:szCs w:val="18"/>
              </w:rPr>
              <w:t xml:space="preserve">Profit before </w:t>
            </w:r>
            <w:r w:rsidR="00504BF7" w:rsidRPr="00477873">
              <w:rPr>
                <w:rFonts w:ascii="Arial" w:hAnsi="Arial" w:cs="Arial"/>
                <w:b/>
                <w:bCs/>
                <w:i/>
                <w:iCs/>
                <w:sz w:val="18"/>
                <w:szCs w:val="18"/>
              </w:rPr>
              <w:t>tax</w:t>
            </w:r>
            <w:r w:rsidR="00504BF7">
              <w:rPr>
                <w:rFonts w:ascii="Arial" w:hAnsi="Arial" w:cs="Arial"/>
                <w:b/>
                <w:bCs/>
                <w:i/>
                <w:iCs/>
                <w:sz w:val="18"/>
                <w:szCs w:val="18"/>
                <w:vertAlign w:val="superscript"/>
              </w:rPr>
              <w:t>2</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51.874</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66.569</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-14.695</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i/>
                <w:iCs/>
                <w:sz w:val="18"/>
                <w:szCs w:val="18"/>
              </w:rPr>
            </w:pPr>
            <w:r w:rsidRPr="00477873">
              <w:rPr>
                <w:rFonts w:ascii="Arial" w:hAnsi="Arial" w:cs="Arial"/>
                <w:b/>
                <w:bCs/>
                <w:i/>
                <w:iCs/>
                <w:sz w:val="18"/>
                <w:szCs w:val="18"/>
              </w:rPr>
              <w:t>-22</w:t>
            </w:r>
            <w:r w:rsidR="00585CD9">
              <w:rPr>
                <w:rFonts w:ascii="Arial" w:hAnsi="Arial" w:cs="Arial"/>
                <w:b/>
                <w:bCs/>
                <w:i/>
                <w:iCs/>
                <w:sz w:val="18"/>
                <w:szCs w:val="18"/>
              </w:rPr>
              <w:t>.</w:t>
            </w:r>
            <w:r w:rsidRPr="00477873">
              <w:rPr>
                <w:rFonts w:ascii="Arial" w:hAnsi="Arial" w:cs="Arial"/>
                <w:b/>
                <w:bCs/>
                <w:i/>
                <w:iCs/>
                <w:sz w:val="18"/>
                <w:szCs w:val="18"/>
              </w:rPr>
              <w:t>1%</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auto" w:fill="auto"/>
            <w:noWrap/>
            <w:vAlign w:val="bottom"/>
            <w:hideMark/>
          </w:tcPr>
          <w:p w:rsidR="00477873" w:rsidRPr="00477873" w:rsidRDefault="00477873" w:rsidP="00477873">
            <w:pPr>
              <w:rPr>
                <w:rFonts w:ascii="Arial" w:hAnsi="Arial" w:cs="Arial"/>
                <w:sz w:val="18"/>
                <w:szCs w:val="18"/>
              </w:rPr>
            </w:pPr>
            <w:r w:rsidRPr="00477873">
              <w:rPr>
                <w:rFonts w:ascii="Arial" w:hAnsi="Arial" w:cs="Arial"/>
                <w:sz w:val="18"/>
                <w:szCs w:val="18"/>
              </w:rPr>
              <w:t>Tax</w:t>
            </w:r>
          </w:p>
        </w:tc>
        <w:tc>
          <w:tcPr>
            <w:tcW w:w="222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-9.686</w:t>
            </w:r>
          </w:p>
        </w:tc>
        <w:tc>
          <w:tcPr>
            <w:tcW w:w="160"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-12.744</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3.058</w:t>
            </w:r>
          </w:p>
        </w:tc>
        <w:tc>
          <w:tcPr>
            <w:tcW w:w="1216" w:type="dxa"/>
            <w:tcBorders>
              <w:top w:val="nil"/>
              <w:left w:val="nil"/>
              <w:bottom w:val="single" w:sz="8" w:space="0" w:color="auto"/>
              <w:right w:val="single" w:sz="8" w:space="0" w:color="auto"/>
            </w:tcBorders>
            <w:shd w:val="clear" w:color="auto" w:fill="auto"/>
            <w:noWrap/>
            <w:vAlign w:val="bottom"/>
            <w:hideMark/>
          </w:tcPr>
          <w:p w:rsidR="00477873" w:rsidRPr="00477873" w:rsidRDefault="00477873" w:rsidP="00477873">
            <w:pPr>
              <w:jc w:val="right"/>
              <w:rPr>
                <w:rFonts w:ascii="Arial" w:hAnsi="Arial" w:cs="Arial"/>
                <w:sz w:val="18"/>
                <w:szCs w:val="18"/>
              </w:rPr>
            </w:pPr>
            <w:r w:rsidRPr="00477873">
              <w:rPr>
                <w:rFonts w:ascii="Arial" w:hAnsi="Arial" w:cs="Arial"/>
                <w:sz w:val="18"/>
                <w:szCs w:val="18"/>
              </w:rPr>
              <w:t>-24</w:t>
            </w:r>
            <w:r w:rsidR="00585CD9">
              <w:rPr>
                <w:rFonts w:ascii="Arial" w:hAnsi="Arial" w:cs="Arial"/>
                <w:sz w:val="18"/>
                <w:szCs w:val="18"/>
              </w:rPr>
              <w:t>.</w:t>
            </w:r>
            <w:r w:rsidRPr="00477873">
              <w:rPr>
                <w:rFonts w:ascii="Arial" w:hAnsi="Arial" w:cs="Arial"/>
                <w:sz w:val="18"/>
                <w:szCs w:val="18"/>
              </w:rPr>
              <w:t>0%</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477873" w:rsidRPr="00477873" w:rsidRDefault="00477873" w:rsidP="00477873">
            <w:pPr>
              <w:rPr>
                <w:rFonts w:ascii="Arial" w:hAnsi="Arial" w:cs="Arial"/>
                <w:b/>
                <w:bCs/>
                <w:sz w:val="18"/>
                <w:szCs w:val="18"/>
              </w:rPr>
            </w:pPr>
            <w:r w:rsidRPr="00477873">
              <w:rPr>
                <w:rFonts w:ascii="Arial" w:hAnsi="Arial" w:cs="Arial"/>
                <w:b/>
                <w:bCs/>
                <w:sz w:val="18"/>
                <w:szCs w:val="18"/>
              </w:rPr>
              <w:t>Net profit</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43.367</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63.692</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-20.325</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-31</w:t>
            </w:r>
            <w:r w:rsidR="00585CD9">
              <w:rPr>
                <w:rFonts w:ascii="Arial" w:hAnsi="Arial" w:cs="Arial"/>
                <w:b/>
                <w:bCs/>
                <w:sz w:val="18"/>
                <w:szCs w:val="18"/>
              </w:rPr>
              <w:t>.</w:t>
            </w:r>
            <w:r w:rsidRPr="00477873">
              <w:rPr>
                <w:rFonts w:ascii="Arial" w:hAnsi="Arial" w:cs="Arial"/>
                <w:b/>
                <w:bCs/>
                <w:sz w:val="18"/>
                <w:szCs w:val="18"/>
              </w:rPr>
              <w:t>9%</w:t>
            </w:r>
          </w:p>
        </w:tc>
      </w:tr>
      <w:tr w:rsidR="00477873" w:rsidRPr="00477873" w:rsidTr="002F3C95">
        <w:trPr>
          <w:trHeight w:val="402"/>
        </w:trPr>
        <w:tc>
          <w:tcPr>
            <w:tcW w:w="3026" w:type="dxa"/>
            <w:tcBorders>
              <w:top w:val="nil"/>
              <w:left w:val="single" w:sz="8" w:space="0" w:color="auto"/>
              <w:bottom w:val="single" w:sz="8" w:space="0" w:color="auto"/>
              <w:right w:val="single" w:sz="8" w:space="0" w:color="auto"/>
            </w:tcBorders>
            <w:shd w:val="clear" w:color="000000" w:fill="D8D8D8"/>
            <w:noWrap/>
            <w:vAlign w:val="bottom"/>
            <w:hideMark/>
          </w:tcPr>
          <w:p w:rsidR="00477873" w:rsidRPr="00477873" w:rsidRDefault="00477873" w:rsidP="00477873">
            <w:pPr>
              <w:rPr>
                <w:rFonts w:ascii="Arial" w:hAnsi="Arial" w:cs="Arial"/>
                <w:b/>
                <w:bCs/>
                <w:sz w:val="18"/>
                <w:szCs w:val="18"/>
              </w:rPr>
            </w:pPr>
            <w:r w:rsidRPr="00477873">
              <w:rPr>
                <w:rFonts w:ascii="Arial" w:hAnsi="Arial" w:cs="Arial"/>
                <w:b/>
                <w:bCs/>
                <w:sz w:val="18"/>
                <w:szCs w:val="18"/>
              </w:rPr>
              <w:t>Net profit</w:t>
            </w:r>
            <w:r w:rsidR="00AE40A7">
              <w:rPr>
                <w:rFonts w:ascii="Arial" w:hAnsi="Arial" w:cs="Arial"/>
                <w:b/>
                <w:bCs/>
                <w:sz w:val="18"/>
                <w:szCs w:val="18"/>
                <w:vertAlign w:val="superscript"/>
              </w:rPr>
              <w:t>2</w:t>
            </w:r>
          </w:p>
        </w:tc>
        <w:tc>
          <w:tcPr>
            <w:tcW w:w="222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42.259</w:t>
            </w:r>
          </w:p>
        </w:tc>
        <w:tc>
          <w:tcPr>
            <w:tcW w:w="160"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55.352</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-13.093</w:t>
            </w:r>
          </w:p>
        </w:tc>
        <w:tc>
          <w:tcPr>
            <w:tcW w:w="1216" w:type="dxa"/>
            <w:tcBorders>
              <w:top w:val="nil"/>
              <w:left w:val="nil"/>
              <w:bottom w:val="single" w:sz="8" w:space="0" w:color="auto"/>
              <w:right w:val="single" w:sz="8" w:space="0" w:color="auto"/>
            </w:tcBorders>
            <w:shd w:val="clear" w:color="000000" w:fill="D8D8D8"/>
            <w:noWrap/>
            <w:vAlign w:val="bottom"/>
            <w:hideMark/>
          </w:tcPr>
          <w:p w:rsidR="00477873" w:rsidRPr="00477873" w:rsidRDefault="00477873" w:rsidP="00477873">
            <w:pPr>
              <w:jc w:val="right"/>
              <w:rPr>
                <w:rFonts w:ascii="Arial" w:hAnsi="Arial" w:cs="Arial"/>
                <w:b/>
                <w:bCs/>
                <w:sz w:val="18"/>
                <w:szCs w:val="18"/>
              </w:rPr>
            </w:pPr>
            <w:r w:rsidRPr="00477873">
              <w:rPr>
                <w:rFonts w:ascii="Arial" w:hAnsi="Arial" w:cs="Arial"/>
                <w:b/>
                <w:bCs/>
                <w:sz w:val="18"/>
                <w:szCs w:val="18"/>
              </w:rPr>
              <w:t>-23</w:t>
            </w:r>
            <w:r w:rsidR="00585CD9">
              <w:rPr>
                <w:rFonts w:ascii="Arial" w:hAnsi="Arial" w:cs="Arial"/>
                <w:b/>
                <w:bCs/>
                <w:sz w:val="18"/>
                <w:szCs w:val="18"/>
              </w:rPr>
              <w:t>.</w:t>
            </w:r>
            <w:r w:rsidRPr="00477873">
              <w:rPr>
                <w:rFonts w:ascii="Arial" w:hAnsi="Arial" w:cs="Arial"/>
                <w:b/>
                <w:bCs/>
                <w:sz w:val="18"/>
                <w:szCs w:val="18"/>
              </w:rPr>
              <w:t>7%</w:t>
            </w:r>
          </w:p>
        </w:tc>
      </w:tr>
    </w:tbl>
    <w:p w:rsidR="006B15DF" w:rsidRPr="00277EF4" w:rsidRDefault="00477873" w:rsidP="00477873">
      <w:pPr>
        <w:pStyle w:val="daljsinaslov0"/>
        <w:spacing w:before="0" w:beforeAutospacing="0" w:after="0" w:afterAutospacing="0"/>
        <w:rPr>
          <w:rFonts w:ascii="Arial" w:hAnsi="Arial" w:cs="Arial"/>
          <w:b/>
          <w:sz w:val="20"/>
          <w:szCs w:val="20"/>
          <w:highlight w:val="yellow"/>
          <w:lang w:val="en-GB"/>
        </w:rPr>
      </w:pPr>
      <w:r>
        <w:rPr>
          <w:rFonts w:ascii="Arial" w:hAnsi="Arial" w:cs="Arial"/>
          <w:sz w:val="16"/>
          <w:szCs w:val="16"/>
          <w:lang w:val="en-GB"/>
        </w:rPr>
        <w:t xml:space="preserve">         </w:t>
      </w:r>
      <w:r w:rsidR="00AE40A7">
        <w:rPr>
          <w:rStyle w:val="FootnoteReference"/>
          <w:rFonts w:ascii="Arial" w:hAnsi="Arial"/>
          <w:sz w:val="16"/>
          <w:szCs w:val="16"/>
          <w:lang w:val="en-GB"/>
        </w:rPr>
        <w:footnoteReference w:id="2"/>
      </w:r>
    </w:p>
    <w:p w:rsidR="00477873" w:rsidRDefault="00477873" w:rsidP="00C8078B">
      <w:pPr>
        <w:pStyle w:val="daljsinaslov0"/>
        <w:spacing w:before="0" w:beforeAutospacing="0" w:after="0" w:afterAutospacing="0"/>
        <w:jc w:val="both"/>
        <w:rPr>
          <w:rFonts w:ascii="Arial" w:hAnsi="Arial" w:cs="Arial"/>
          <w:bCs/>
          <w:sz w:val="20"/>
          <w:szCs w:val="20"/>
          <w:lang w:val="en-GB"/>
        </w:rPr>
      </w:pPr>
    </w:p>
    <w:p w:rsidR="00477873" w:rsidRDefault="00477873" w:rsidP="00C8078B">
      <w:pPr>
        <w:pStyle w:val="daljsinaslov0"/>
        <w:spacing w:before="0" w:beforeAutospacing="0" w:after="0" w:afterAutospacing="0"/>
        <w:jc w:val="both"/>
        <w:rPr>
          <w:rFonts w:ascii="Arial" w:hAnsi="Arial" w:cs="Arial"/>
          <w:bCs/>
          <w:sz w:val="20"/>
          <w:szCs w:val="20"/>
          <w:lang w:val="en-GB"/>
        </w:rPr>
      </w:pPr>
    </w:p>
    <w:p w:rsidR="00C8078B" w:rsidRPr="00277EF4" w:rsidRDefault="00C8078B" w:rsidP="00C8078B">
      <w:pPr>
        <w:pStyle w:val="daljsinaslov0"/>
        <w:spacing w:before="0" w:beforeAutospacing="0" w:after="0" w:afterAutospacing="0"/>
        <w:jc w:val="both"/>
        <w:rPr>
          <w:rFonts w:ascii="Arial" w:hAnsi="Arial" w:cs="Arial"/>
          <w:color w:val="222222"/>
          <w:sz w:val="20"/>
          <w:szCs w:val="20"/>
          <w:lang w:val="en-GB"/>
        </w:rPr>
      </w:pPr>
    </w:p>
    <w:p w:rsidR="00504BF7" w:rsidRDefault="00504BF7" w:rsidP="00C8078B">
      <w:pPr>
        <w:pStyle w:val="daljsinaslov0"/>
        <w:spacing w:before="0" w:beforeAutospacing="0" w:after="0" w:afterAutospacing="0"/>
        <w:jc w:val="both"/>
        <w:rPr>
          <w:rFonts w:ascii="Arial" w:hAnsi="Arial" w:cs="Arial"/>
          <w:color w:val="222222"/>
          <w:sz w:val="20"/>
          <w:szCs w:val="20"/>
          <w:lang w:val="en-GB"/>
        </w:rPr>
      </w:pPr>
      <w:r>
        <w:rPr>
          <w:rFonts w:ascii="Arial" w:hAnsi="Arial" w:cs="Arial"/>
          <w:b/>
          <w:color w:val="222222"/>
          <w:sz w:val="20"/>
          <w:szCs w:val="20"/>
          <w:lang w:val="en-GB"/>
        </w:rPr>
        <w:t xml:space="preserve">SKB Bank’s market share </w:t>
      </w:r>
      <w:r w:rsidR="00C8078B" w:rsidRPr="00277EF4">
        <w:rPr>
          <w:rFonts w:ascii="Arial" w:hAnsi="Arial" w:cs="Arial"/>
          <w:b/>
          <w:color w:val="222222"/>
          <w:sz w:val="20"/>
          <w:szCs w:val="20"/>
          <w:lang w:val="en-GB"/>
        </w:rPr>
        <w:t>in loans</w:t>
      </w:r>
      <w:r w:rsidR="00C8078B" w:rsidRPr="00277EF4">
        <w:rPr>
          <w:rFonts w:ascii="Arial" w:hAnsi="Arial" w:cs="Arial"/>
          <w:color w:val="222222"/>
          <w:sz w:val="20"/>
          <w:szCs w:val="20"/>
          <w:lang w:val="en-GB"/>
        </w:rPr>
        <w:t xml:space="preserve"> </w:t>
      </w:r>
      <w:r>
        <w:rPr>
          <w:rFonts w:ascii="Arial" w:hAnsi="Arial" w:cs="Arial"/>
          <w:color w:val="222222"/>
          <w:sz w:val="20"/>
          <w:szCs w:val="20"/>
          <w:lang w:val="en-GB"/>
        </w:rPr>
        <w:t>for individuals increased from 11.4% in December 2016 to 11.6% in December 2017, in a growing market ; this increase is the result of an excellent acceptance of the bank’s housing loans</w:t>
      </w:r>
      <w:r w:rsidR="00F904D6">
        <w:rPr>
          <w:rFonts w:ascii="Arial" w:hAnsi="Arial" w:cs="Arial"/>
          <w:color w:val="222222"/>
          <w:sz w:val="20"/>
          <w:szCs w:val="20"/>
          <w:lang w:val="en-GB"/>
        </w:rPr>
        <w:t xml:space="preserve"> </w:t>
      </w:r>
      <w:r w:rsidR="00FE1B65">
        <w:rPr>
          <w:rFonts w:ascii="Arial" w:hAnsi="Arial" w:cs="Arial"/>
          <w:color w:val="222222"/>
          <w:sz w:val="20"/>
          <w:szCs w:val="20"/>
          <w:lang w:val="en-GB"/>
        </w:rPr>
        <w:t>by</w:t>
      </w:r>
      <w:r w:rsidR="00F904D6">
        <w:rPr>
          <w:rFonts w:ascii="Arial" w:hAnsi="Arial" w:cs="Arial"/>
          <w:color w:val="222222"/>
          <w:sz w:val="20"/>
          <w:szCs w:val="20"/>
          <w:lang w:val="en-GB"/>
        </w:rPr>
        <w:t xml:space="preserve"> the market</w:t>
      </w:r>
      <w:r>
        <w:rPr>
          <w:rFonts w:ascii="Arial" w:hAnsi="Arial" w:cs="Arial"/>
          <w:color w:val="222222"/>
          <w:sz w:val="20"/>
          <w:szCs w:val="20"/>
          <w:lang w:val="en-GB"/>
        </w:rPr>
        <w:t xml:space="preserve">. Market share on loans for corporates is of 9.6% in December 2017, versus 9.1% one year earlier. </w:t>
      </w:r>
    </w:p>
    <w:p w:rsidR="00C8078B" w:rsidRPr="00277EF4" w:rsidRDefault="00C8078B" w:rsidP="00C8078B">
      <w:pPr>
        <w:pStyle w:val="daljsinaslov0"/>
        <w:spacing w:before="0" w:beforeAutospacing="0" w:after="0" w:afterAutospacing="0"/>
        <w:jc w:val="both"/>
        <w:rPr>
          <w:rFonts w:ascii="Arial" w:hAnsi="Arial" w:cs="Arial"/>
          <w:color w:val="222222"/>
          <w:sz w:val="20"/>
          <w:szCs w:val="20"/>
          <w:lang w:val="en-GB"/>
        </w:rPr>
      </w:pPr>
      <w:r>
        <w:rPr>
          <w:rFonts w:ascii="Arial" w:hAnsi="Arial" w:cs="Arial"/>
          <w:color w:val="222222"/>
          <w:sz w:val="20"/>
          <w:szCs w:val="20"/>
          <w:lang w:val="en-GB"/>
        </w:rPr>
        <w:t>S</w:t>
      </w:r>
      <w:r w:rsidRPr="00277EF4">
        <w:rPr>
          <w:rFonts w:ascii="Arial" w:hAnsi="Arial" w:cs="Arial"/>
          <w:sz w:val="20"/>
          <w:szCs w:val="20"/>
          <w:lang w:val="en-GB"/>
        </w:rPr>
        <w:t>KB Leasing Group</w:t>
      </w:r>
      <w:r>
        <w:rPr>
          <w:rFonts w:ascii="Arial" w:hAnsi="Arial" w:cs="Arial"/>
          <w:sz w:val="20"/>
          <w:szCs w:val="20"/>
          <w:lang w:val="en-GB"/>
        </w:rPr>
        <w:t>,</w:t>
      </w:r>
      <w:r w:rsidRPr="00277EF4">
        <w:rPr>
          <w:rFonts w:ascii="Arial" w:hAnsi="Arial" w:cs="Arial"/>
          <w:sz w:val="20"/>
          <w:szCs w:val="20"/>
          <w:lang w:val="en-GB"/>
        </w:rPr>
        <w:t xml:space="preserve"> </w:t>
      </w:r>
      <w:r w:rsidRPr="00277EF4">
        <w:rPr>
          <w:rFonts w:ascii="Arial" w:hAnsi="Arial" w:cs="Arial"/>
          <w:color w:val="222222"/>
          <w:sz w:val="20"/>
          <w:szCs w:val="20"/>
          <w:lang w:val="en-GB"/>
        </w:rPr>
        <w:t xml:space="preserve">which is 100% owned by SKB Bank, continues to rank </w:t>
      </w:r>
      <w:r w:rsidRPr="00277EF4">
        <w:rPr>
          <w:rFonts w:ascii="Arial" w:hAnsi="Arial" w:cs="Arial"/>
          <w:b/>
          <w:color w:val="222222"/>
          <w:sz w:val="20"/>
          <w:szCs w:val="20"/>
          <w:lang w:val="en-GB"/>
        </w:rPr>
        <w:t xml:space="preserve">among the </w:t>
      </w:r>
      <w:r w:rsidR="00504BF7">
        <w:rPr>
          <w:rFonts w:ascii="Arial" w:hAnsi="Arial" w:cs="Arial"/>
          <w:b/>
          <w:color w:val="222222"/>
          <w:sz w:val="20"/>
          <w:szCs w:val="20"/>
          <w:lang w:val="en-GB"/>
        </w:rPr>
        <w:t xml:space="preserve">top </w:t>
      </w:r>
      <w:r w:rsidRPr="00277EF4">
        <w:rPr>
          <w:rFonts w:ascii="Arial" w:hAnsi="Arial" w:cs="Arial"/>
          <w:b/>
          <w:color w:val="222222"/>
          <w:sz w:val="20"/>
          <w:szCs w:val="20"/>
          <w:lang w:val="en-GB"/>
        </w:rPr>
        <w:t>leading leasing companies in Slovenia</w:t>
      </w:r>
      <w:r w:rsidR="00504BF7">
        <w:rPr>
          <w:rFonts w:ascii="Arial" w:hAnsi="Arial" w:cs="Arial"/>
          <w:color w:val="222222"/>
          <w:sz w:val="20"/>
          <w:szCs w:val="20"/>
          <w:lang w:val="en-GB"/>
        </w:rPr>
        <w:t>,</w:t>
      </w:r>
      <w:r w:rsidRPr="00277EF4">
        <w:rPr>
          <w:rFonts w:ascii="Arial" w:hAnsi="Arial" w:cs="Arial"/>
          <w:color w:val="222222"/>
          <w:sz w:val="20"/>
          <w:szCs w:val="20"/>
          <w:lang w:val="en-GB"/>
        </w:rPr>
        <w:t xml:space="preserve"> </w:t>
      </w:r>
      <w:r w:rsidR="00504BF7">
        <w:rPr>
          <w:rFonts w:ascii="Arial" w:hAnsi="Arial" w:cs="Arial"/>
          <w:color w:val="222222"/>
          <w:sz w:val="20"/>
          <w:szCs w:val="20"/>
          <w:lang w:val="en-GB"/>
        </w:rPr>
        <w:t xml:space="preserve">with a total volume of financial leasing of 438.5 M euros, </w:t>
      </w:r>
      <w:r w:rsidRPr="00277EF4">
        <w:rPr>
          <w:rFonts w:ascii="Arial" w:hAnsi="Arial" w:cs="Arial"/>
          <w:color w:val="222222"/>
          <w:sz w:val="20"/>
          <w:szCs w:val="20"/>
          <w:lang w:val="en-GB"/>
        </w:rPr>
        <w:t xml:space="preserve">13.9% </w:t>
      </w:r>
      <w:r w:rsidR="00504BF7">
        <w:rPr>
          <w:rFonts w:ascii="Arial" w:hAnsi="Arial" w:cs="Arial"/>
          <w:color w:val="222222"/>
          <w:sz w:val="20"/>
          <w:szCs w:val="20"/>
          <w:lang w:val="en-GB"/>
        </w:rPr>
        <w:t>higher than at the end of</w:t>
      </w:r>
      <w:r w:rsidRPr="00277EF4">
        <w:rPr>
          <w:rFonts w:ascii="Arial" w:hAnsi="Arial" w:cs="Arial"/>
          <w:color w:val="222222"/>
          <w:sz w:val="20"/>
          <w:szCs w:val="20"/>
          <w:lang w:val="en-GB"/>
        </w:rPr>
        <w:t xml:space="preserve"> 201</w:t>
      </w:r>
      <w:r w:rsidR="00504BF7">
        <w:rPr>
          <w:rFonts w:ascii="Arial" w:hAnsi="Arial" w:cs="Arial"/>
          <w:color w:val="222222"/>
          <w:sz w:val="20"/>
          <w:szCs w:val="20"/>
          <w:lang w:val="en-GB"/>
        </w:rPr>
        <w:t>6</w:t>
      </w:r>
      <w:r w:rsidRPr="00277EF4">
        <w:rPr>
          <w:rFonts w:ascii="Arial" w:hAnsi="Arial" w:cs="Arial"/>
          <w:color w:val="222222"/>
          <w:sz w:val="20"/>
          <w:szCs w:val="20"/>
          <w:lang w:val="en-GB"/>
        </w:rPr>
        <w:t xml:space="preserve">. </w:t>
      </w:r>
    </w:p>
    <w:p w:rsidR="0049362D" w:rsidRPr="00277EF4" w:rsidRDefault="0049362D" w:rsidP="00277EF4">
      <w:pPr>
        <w:pStyle w:val="daljsinaslov0"/>
        <w:spacing w:before="0" w:beforeAutospacing="0" w:after="0" w:afterAutospacing="0"/>
        <w:jc w:val="both"/>
        <w:rPr>
          <w:rFonts w:ascii="Arial" w:hAnsi="Arial" w:cs="Arial"/>
          <w:color w:val="222222"/>
          <w:sz w:val="20"/>
          <w:szCs w:val="20"/>
          <w:lang w:val="en-GB"/>
        </w:rPr>
      </w:pPr>
    </w:p>
    <w:p w:rsidR="00504BF7" w:rsidRDefault="0049362D" w:rsidP="00277EF4">
      <w:pPr>
        <w:jc w:val="both"/>
        <w:rPr>
          <w:rFonts w:ascii="Arial" w:hAnsi="Arial" w:cs="Arial"/>
          <w:color w:val="222222"/>
          <w:sz w:val="20"/>
          <w:szCs w:val="20"/>
          <w:lang w:val="en-GB"/>
        </w:rPr>
      </w:pPr>
      <w:r w:rsidRPr="00277EF4">
        <w:rPr>
          <w:rFonts w:ascii="Arial" w:hAnsi="Arial" w:cs="Arial"/>
          <w:color w:val="222222"/>
          <w:sz w:val="20"/>
          <w:szCs w:val="20"/>
          <w:lang w:val="en-GB"/>
        </w:rPr>
        <w:t xml:space="preserve">SKB </w:t>
      </w:r>
      <w:r w:rsidR="00504BF7">
        <w:rPr>
          <w:rFonts w:ascii="Arial" w:hAnsi="Arial" w:cs="Arial"/>
          <w:color w:val="222222"/>
          <w:sz w:val="20"/>
          <w:szCs w:val="20"/>
          <w:lang w:val="en-GB"/>
        </w:rPr>
        <w:t xml:space="preserve">Bank </w:t>
      </w:r>
      <w:r w:rsidRPr="00277EF4">
        <w:rPr>
          <w:rFonts w:ascii="Arial" w:hAnsi="Arial" w:cs="Arial"/>
          <w:color w:val="222222"/>
          <w:sz w:val="20"/>
          <w:szCs w:val="20"/>
          <w:lang w:val="en-GB"/>
        </w:rPr>
        <w:t xml:space="preserve">is </w:t>
      </w:r>
      <w:r w:rsidR="00FE1B65">
        <w:rPr>
          <w:rFonts w:ascii="Arial" w:hAnsi="Arial" w:cs="Arial"/>
          <w:color w:val="222222"/>
          <w:sz w:val="20"/>
          <w:szCs w:val="20"/>
          <w:lang w:val="en-GB"/>
        </w:rPr>
        <w:t xml:space="preserve">also </w:t>
      </w:r>
      <w:r w:rsidRPr="00277EF4">
        <w:rPr>
          <w:rFonts w:ascii="Arial" w:hAnsi="Arial" w:cs="Arial"/>
          <w:color w:val="222222"/>
          <w:sz w:val="20"/>
          <w:szCs w:val="20"/>
          <w:lang w:val="en-GB"/>
        </w:rPr>
        <w:t xml:space="preserve">strongly present with various </w:t>
      </w:r>
      <w:r w:rsidR="00896FEE">
        <w:rPr>
          <w:rFonts w:ascii="Arial" w:hAnsi="Arial" w:cs="Arial"/>
          <w:color w:val="222222"/>
          <w:sz w:val="20"/>
          <w:szCs w:val="20"/>
          <w:lang w:val="en-GB"/>
        </w:rPr>
        <w:t xml:space="preserve">cultural and </w:t>
      </w:r>
      <w:r w:rsidRPr="00277EF4">
        <w:rPr>
          <w:rFonts w:ascii="Arial" w:hAnsi="Arial" w:cs="Arial"/>
          <w:color w:val="222222"/>
          <w:sz w:val="20"/>
          <w:szCs w:val="20"/>
          <w:lang w:val="en-GB"/>
        </w:rPr>
        <w:t xml:space="preserve">sports sponsorships and with the main sponsorship of the Slovenian Olympic Teams. </w:t>
      </w:r>
      <w:r w:rsidR="00171591" w:rsidRPr="00277EF4">
        <w:rPr>
          <w:rFonts w:ascii="Arial" w:hAnsi="Arial" w:cs="Arial"/>
          <w:color w:val="222222"/>
          <w:sz w:val="20"/>
          <w:szCs w:val="20"/>
          <w:lang w:val="en-GB"/>
        </w:rPr>
        <w:t>I</w:t>
      </w:r>
      <w:r w:rsidRPr="00277EF4">
        <w:rPr>
          <w:rFonts w:ascii="Arial" w:hAnsi="Arial" w:cs="Arial"/>
          <w:color w:val="222222"/>
          <w:sz w:val="20"/>
          <w:szCs w:val="20"/>
          <w:lang w:val="en-GB"/>
        </w:rPr>
        <w:t xml:space="preserve">t is also present with its initiative for </w:t>
      </w:r>
      <w:r w:rsidR="00392A18">
        <w:rPr>
          <w:rFonts w:ascii="Arial" w:hAnsi="Arial" w:cs="Arial"/>
          <w:color w:val="222222"/>
          <w:sz w:val="20"/>
          <w:szCs w:val="20"/>
          <w:lang w:val="en-GB"/>
        </w:rPr>
        <w:t xml:space="preserve">the </w:t>
      </w:r>
      <w:bookmarkStart w:id="0" w:name="_GoBack"/>
      <w:bookmarkEnd w:id="0"/>
      <w:r w:rsidRPr="00277EF4">
        <w:rPr>
          <w:rFonts w:ascii="Arial" w:hAnsi="Arial" w:cs="Arial"/>
          <w:color w:val="222222"/>
          <w:sz w:val="20"/>
          <w:szCs w:val="20"/>
          <w:lang w:val="en-GB"/>
        </w:rPr>
        <w:t xml:space="preserve">Slovenian Movement, </w:t>
      </w:r>
      <w:r w:rsidRPr="00277EF4">
        <w:rPr>
          <w:rFonts w:ascii="Arial" w:hAnsi="Arial" w:cs="Arial"/>
          <w:b/>
          <w:sz w:val="20"/>
          <w:szCs w:val="20"/>
          <w:lang w:val="en-GB"/>
        </w:rPr>
        <w:t>#vztrajam (#I never give up)</w:t>
      </w:r>
      <w:r w:rsidRPr="00277EF4">
        <w:rPr>
          <w:rFonts w:ascii="Arial" w:hAnsi="Arial" w:cs="Arial"/>
          <w:color w:val="222222"/>
          <w:sz w:val="20"/>
          <w:szCs w:val="20"/>
          <w:lang w:val="en-GB"/>
        </w:rPr>
        <w:t xml:space="preserve"> which contributes to socially responsible </w:t>
      </w:r>
      <w:r w:rsidR="00171591" w:rsidRPr="00277EF4">
        <w:rPr>
          <w:rFonts w:ascii="Arial" w:hAnsi="Arial" w:cs="Arial"/>
          <w:color w:val="222222"/>
          <w:sz w:val="20"/>
          <w:szCs w:val="20"/>
          <w:lang w:val="en-GB"/>
        </w:rPr>
        <w:t>activities</w:t>
      </w:r>
      <w:r w:rsidRPr="00277EF4">
        <w:rPr>
          <w:rFonts w:ascii="Arial" w:hAnsi="Arial" w:cs="Arial"/>
          <w:color w:val="222222"/>
          <w:sz w:val="20"/>
          <w:szCs w:val="20"/>
          <w:lang w:val="en-GB"/>
        </w:rPr>
        <w:t xml:space="preserve">. </w:t>
      </w:r>
    </w:p>
    <w:p w:rsidR="00504BF7" w:rsidRDefault="00504BF7" w:rsidP="00277EF4">
      <w:pPr>
        <w:jc w:val="both"/>
        <w:rPr>
          <w:rFonts w:ascii="Arial" w:hAnsi="Arial" w:cs="Arial"/>
          <w:color w:val="222222"/>
          <w:sz w:val="20"/>
          <w:szCs w:val="20"/>
          <w:lang w:val="en-GB"/>
        </w:rPr>
      </w:pPr>
    </w:p>
    <w:p w:rsidR="0049362D" w:rsidRPr="00277EF4" w:rsidRDefault="0049362D" w:rsidP="00277EF4">
      <w:pPr>
        <w:jc w:val="both"/>
        <w:rPr>
          <w:rFonts w:ascii="Arial" w:hAnsi="Arial" w:cs="Arial"/>
          <w:sz w:val="20"/>
          <w:szCs w:val="20"/>
          <w:lang w:val="en-GB"/>
        </w:rPr>
      </w:pPr>
      <w:r w:rsidRPr="00277EF4">
        <w:rPr>
          <w:rFonts w:ascii="Arial" w:hAnsi="Arial" w:cs="Arial"/>
          <w:color w:val="222222"/>
          <w:sz w:val="20"/>
          <w:szCs w:val="20"/>
          <w:lang w:val="en-GB"/>
        </w:rPr>
        <w:t xml:space="preserve">The active role of SKB </w:t>
      </w:r>
      <w:r w:rsidR="00504BF7">
        <w:rPr>
          <w:rFonts w:ascii="Arial" w:hAnsi="Arial" w:cs="Arial"/>
          <w:color w:val="222222"/>
          <w:sz w:val="20"/>
          <w:szCs w:val="20"/>
          <w:lang w:val="en-GB"/>
        </w:rPr>
        <w:t xml:space="preserve">Bank </w:t>
      </w:r>
      <w:r w:rsidRPr="00277EF4">
        <w:rPr>
          <w:rFonts w:ascii="Arial" w:hAnsi="Arial" w:cs="Arial"/>
          <w:color w:val="222222"/>
          <w:sz w:val="20"/>
          <w:szCs w:val="20"/>
          <w:lang w:val="en-GB"/>
        </w:rPr>
        <w:t>in the banking area, the quality of its services and customer</w:t>
      </w:r>
      <w:r w:rsidR="00392A18">
        <w:rPr>
          <w:rFonts w:ascii="Arial" w:hAnsi="Arial" w:cs="Arial"/>
          <w:color w:val="222222"/>
          <w:sz w:val="20"/>
          <w:szCs w:val="20"/>
          <w:lang w:val="en-GB"/>
        </w:rPr>
        <w:t>s’</w:t>
      </w:r>
      <w:r w:rsidRPr="00277EF4">
        <w:rPr>
          <w:rFonts w:ascii="Arial" w:hAnsi="Arial" w:cs="Arial"/>
          <w:color w:val="222222"/>
          <w:sz w:val="20"/>
          <w:szCs w:val="20"/>
          <w:lang w:val="en-GB"/>
        </w:rPr>
        <w:t xml:space="preserve"> confidence were also reflected in three important international awards received in 2017. </w:t>
      </w:r>
      <w:r w:rsidR="00504BF7">
        <w:rPr>
          <w:rFonts w:ascii="Arial" w:hAnsi="Arial" w:cs="Arial"/>
          <w:color w:val="222222"/>
          <w:sz w:val="20"/>
          <w:szCs w:val="20"/>
          <w:lang w:val="en-GB"/>
        </w:rPr>
        <w:t>“</w:t>
      </w:r>
      <w:r w:rsidRPr="00277EF4">
        <w:rPr>
          <w:rFonts w:ascii="Arial" w:hAnsi="Arial" w:cs="Arial"/>
          <w:color w:val="222222"/>
          <w:sz w:val="20"/>
          <w:szCs w:val="20"/>
          <w:lang w:val="en-GB"/>
        </w:rPr>
        <w:t>The Banker</w:t>
      </w:r>
      <w:r w:rsidR="00504BF7">
        <w:rPr>
          <w:rFonts w:ascii="Arial" w:hAnsi="Arial" w:cs="Arial"/>
          <w:color w:val="222222"/>
          <w:sz w:val="20"/>
          <w:szCs w:val="20"/>
          <w:lang w:val="en-GB"/>
        </w:rPr>
        <w:t>”</w:t>
      </w:r>
      <w:r w:rsidRPr="00277EF4">
        <w:rPr>
          <w:rFonts w:ascii="Arial" w:hAnsi="Arial" w:cs="Arial"/>
          <w:color w:val="222222"/>
          <w:sz w:val="20"/>
          <w:szCs w:val="20"/>
          <w:lang w:val="en-GB"/>
        </w:rPr>
        <w:t xml:space="preserve"> </w:t>
      </w:r>
      <w:r w:rsidR="00504BF7">
        <w:rPr>
          <w:rFonts w:ascii="Arial" w:hAnsi="Arial" w:cs="Arial"/>
          <w:color w:val="222222"/>
          <w:sz w:val="20"/>
          <w:szCs w:val="20"/>
          <w:lang w:val="en-GB"/>
        </w:rPr>
        <w:t xml:space="preserve">elected </w:t>
      </w:r>
      <w:r w:rsidRPr="00277EF4">
        <w:rPr>
          <w:rFonts w:ascii="Arial" w:hAnsi="Arial" w:cs="Arial"/>
          <w:color w:val="222222"/>
          <w:sz w:val="20"/>
          <w:szCs w:val="20"/>
          <w:lang w:val="en-GB"/>
        </w:rPr>
        <w:t xml:space="preserve">it </w:t>
      </w:r>
      <w:r w:rsidR="00504BF7">
        <w:rPr>
          <w:rFonts w:ascii="Arial" w:hAnsi="Arial" w:cs="Arial"/>
          <w:color w:val="222222"/>
          <w:sz w:val="20"/>
          <w:szCs w:val="20"/>
          <w:lang w:val="en-GB"/>
        </w:rPr>
        <w:t xml:space="preserve">as </w:t>
      </w:r>
      <w:r w:rsidRPr="00277EF4">
        <w:rPr>
          <w:rFonts w:ascii="Arial" w:hAnsi="Arial" w:cs="Arial"/>
          <w:b/>
          <w:color w:val="222222"/>
          <w:sz w:val="20"/>
          <w:szCs w:val="20"/>
          <w:lang w:val="en-GB"/>
        </w:rPr>
        <w:t>Bank of 2017 in Slovenia</w:t>
      </w:r>
      <w:r w:rsidRPr="00277EF4">
        <w:rPr>
          <w:rFonts w:ascii="Arial" w:hAnsi="Arial" w:cs="Arial"/>
          <w:color w:val="222222"/>
          <w:sz w:val="20"/>
          <w:szCs w:val="20"/>
          <w:lang w:val="en-GB"/>
        </w:rPr>
        <w:t xml:space="preserve">, </w:t>
      </w:r>
      <w:r w:rsidR="00504BF7">
        <w:rPr>
          <w:rFonts w:ascii="Arial" w:hAnsi="Arial" w:cs="Arial"/>
          <w:color w:val="222222"/>
          <w:sz w:val="20"/>
          <w:szCs w:val="20"/>
          <w:lang w:val="en-GB"/>
        </w:rPr>
        <w:t>“Global Finance” and “</w:t>
      </w:r>
      <w:r w:rsidRPr="00277EF4">
        <w:rPr>
          <w:rFonts w:ascii="Arial" w:hAnsi="Arial" w:cs="Arial"/>
          <w:color w:val="222222"/>
          <w:sz w:val="20"/>
          <w:szCs w:val="20"/>
          <w:lang w:val="en-GB"/>
        </w:rPr>
        <w:t>Euromoney</w:t>
      </w:r>
      <w:r w:rsidR="00504BF7">
        <w:rPr>
          <w:rFonts w:ascii="Arial" w:hAnsi="Arial" w:cs="Arial"/>
          <w:color w:val="222222"/>
          <w:sz w:val="20"/>
          <w:szCs w:val="20"/>
          <w:lang w:val="en-GB"/>
        </w:rPr>
        <w:t xml:space="preserve">” as </w:t>
      </w:r>
      <w:r w:rsidR="001D4065" w:rsidRPr="001D4065">
        <w:rPr>
          <w:rFonts w:ascii="Arial" w:hAnsi="Arial" w:cs="Arial"/>
          <w:b/>
          <w:color w:val="222222"/>
          <w:sz w:val="20"/>
          <w:szCs w:val="20"/>
          <w:lang w:val="en-GB"/>
        </w:rPr>
        <w:t>Best Bank in Slovenia</w:t>
      </w:r>
      <w:r w:rsidRPr="00277EF4">
        <w:rPr>
          <w:rFonts w:ascii="Arial" w:hAnsi="Arial" w:cs="Arial"/>
          <w:color w:val="222222"/>
          <w:sz w:val="20"/>
          <w:szCs w:val="20"/>
          <w:lang w:val="en-GB"/>
        </w:rPr>
        <w:t>.</w:t>
      </w:r>
    </w:p>
    <w:p w:rsidR="0049362D" w:rsidRPr="00277EF4" w:rsidRDefault="0049362D" w:rsidP="00277EF4">
      <w:pPr>
        <w:pStyle w:val="daljsinaslov0"/>
        <w:spacing w:before="0" w:beforeAutospacing="0" w:after="0" w:afterAutospacing="0"/>
        <w:jc w:val="both"/>
        <w:rPr>
          <w:rFonts w:ascii="Arial" w:hAnsi="Arial" w:cs="Arial"/>
          <w:sz w:val="20"/>
          <w:szCs w:val="20"/>
          <w:lang w:val="en-GB"/>
        </w:rPr>
      </w:pPr>
    </w:p>
    <w:p w:rsidR="0049362D" w:rsidRPr="00277EF4" w:rsidRDefault="0049362D" w:rsidP="00277EF4">
      <w:pPr>
        <w:pStyle w:val="daljsinaslov0"/>
        <w:spacing w:before="0" w:beforeAutospacing="0" w:after="0" w:afterAutospacing="0"/>
        <w:jc w:val="both"/>
        <w:rPr>
          <w:rFonts w:ascii="Arial" w:hAnsi="Arial" w:cs="Arial"/>
          <w:i/>
          <w:color w:val="222222"/>
          <w:sz w:val="20"/>
          <w:szCs w:val="20"/>
          <w:lang w:val="en-GB"/>
        </w:rPr>
      </w:pPr>
      <w:r w:rsidRPr="00277EF4">
        <w:rPr>
          <w:rFonts w:ascii="Arial" w:hAnsi="Arial" w:cs="Arial"/>
          <w:b/>
          <w:bCs/>
          <w:iCs/>
          <w:sz w:val="20"/>
          <w:szCs w:val="20"/>
          <w:lang w:val="en-GB"/>
        </w:rPr>
        <w:t>Andre Gardella, Chief Executive Officer of SKB</w:t>
      </w:r>
      <w:r w:rsidR="00504BF7">
        <w:rPr>
          <w:rFonts w:ascii="Arial" w:hAnsi="Arial" w:cs="Arial"/>
          <w:b/>
          <w:bCs/>
          <w:iCs/>
          <w:sz w:val="20"/>
          <w:szCs w:val="20"/>
          <w:lang w:val="en-GB"/>
        </w:rPr>
        <w:t xml:space="preserve"> Bank</w:t>
      </w:r>
      <w:r w:rsidRPr="00277EF4">
        <w:rPr>
          <w:rFonts w:ascii="Arial" w:hAnsi="Arial" w:cs="Arial"/>
          <w:b/>
          <w:bCs/>
          <w:iCs/>
          <w:sz w:val="20"/>
          <w:szCs w:val="20"/>
          <w:lang w:val="en-GB"/>
        </w:rPr>
        <w:t xml:space="preserve">, </w:t>
      </w:r>
      <w:r w:rsidRPr="00277EF4">
        <w:rPr>
          <w:rFonts w:ascii="Arial" w:hAnsi="Arial" w:cs="Arial"/>
          <w:bCs/>
          <w:iCs/>
          <w:sz w:val="20"/>
          <w:szCs w:val="20"/>
          <w:lang w:val="en-GB"/>
        </w:rPr>
        <w:t xml:space="preserve">commented on 2017 </w:t>
      </w:r>
      <w:r w:rsidR="00504BF7">
        <w:rPr>
          <w:rFonts w:ascii="Arial" w:hAnsi="Arial" w:cs="Arial"/>
          <w:bCs/>
          <w:iCs/>
          <w:sz w:val="20"/>
          <w:szCs w:val="20"/>
          <w:lang w:val="en-GB"/>
        </w:rPr>
        <w:t xml:space="preserve">results </w:t>
      </w:r>
      <w:r w:rsidRPr="00277EF4">
        <w:rPr>
          <w:rFonts w:ascii="Arial" w:hAnsi="Arial" w:cs="Arial"/>
          <w:bCs/>
          <w:iCs/>
          <w:sz w:val="20"/>
          <w:szCs w:val="20"/>
          <w:lang w:val="en-GB"/>
        </w:rPr>
        <w:t>:</w:t>
      </w:r>
      <w:r w:rsidRPr="00277EF4">
        <w:rPr>
          <w:rFonts w:ascii="Arial" w:hAnsi="Arial" w:cs="Arial"/>
          <w:i/>
          <w:iCs/>
          <w:sz w:val="20"/>
          <w:szCs w:val="20"/>
          <w:lang w:val="en-GB"/>
        </w:rPr>
        <w:t xml:space="preserve"> </w:t>
      </w:r>
      <w:r w:rsidRPr="00277EF4">
        <w:rPr>
          <w:rFonts w:ascii="Arial" w:hAnsi="Arial" w:cs="Arial"/>
          <w:i/>
          <w:color w:val="222222"/>
          <w:sz w:val="20"/>
          <w:szCs w:val="20"/>
          <w:lang w:val="en-GB"/>
        </w:rPr>
        <w:t xml:space="preserve">»The financial results </w:t>
      </w:r>
      <w:r w:rsidR="00504BF7">
        <w:rPr>
          <w:rFonts w:ascii="Arial" w:hAnsi="Arial" w:cs="Arial"/>
          <w:i/>
          <w:color w:val="222222"/>
          <w:sz w:val="20"/>
          <w:szCs w:val="20"/>
          <w:lang w:val="en-GB"/>
        </w:rPr>
        <w:t xml:space="preserve">achieved in 2017 </w:t>
      </w:r>
      <w:r w:rsidRPr="00277EF4">
        <w:rPr>
          <w:rFonts w:ascii="Arial" w:hAnsi="Arial" w:cs="Arial"/>
          <w:i/>
          <w:color w:val="222222"/>
          <w:sz w:val="20"/>
          <w:szCs w:val="20"/>
          <w:lang w:val="en-GB"/>
        </w:rPr>
        <w:t xml:space="preserve">prove </w:t>
      </w:r>
      <w:r w:rsidR="00504BF7">
        <w:rPr>
          <w:rFonts w:ascii="Arial" w:hAnsi="Arial" w:cs="Arial"/>
          <w:i/>
          <w:color w:val="222222"/>
          <w:sz w:val="20"/>
          <w:szCs w:val="20"/>
          <w:lang w:val="en-GB"/>
        </w:rPr>
        <w:t xml:space="preserve">once more the solidity of </w:t>
      </w:r>
      <w:r w:rsidRPr="00277EF4">
        <w:rPr>
          <w:rFonts w:ascii="Arial" w:hAnsi="Arial" w:cs="Arial"/>
          <w:i/>
          <w:color w:val="222222"/>
          <w:sz w:val="20"/>
          <w:szCs w:val="20"/>
          <w:lang w:val="en-GB"/>
        </w:rPr>
        <w:t>SKB</w:t>
      </w:r>
      <w:r w:rsidR="00504BF7">
        <w:rPr>
          <w:rFonts w:ascii="Arial" w:hAnsi="Arial" w:cs="Arial"/>
          <w:i/>
          <w:color w:val="222222"/>
          <w:sz w:val="20"/>
          <w:szCs w:val="20"/>
          <w:lang w:val="en-GB"/>
        </w:rPr>
        <w:t xml:space="preserve"> Group.</w:t>
      </w:r>
      <w:r w:rsidRPr="00277EF4">
        <w:rPr>
          <w:rFonts w:ascii="Arial" w:hAnsi="Arial" w:cs="Arial"/>
          <w:i/>
          <w:color w:val="222222"/>
          <w:sz w:val="20"/>
          <w:szCs w:val="20"/>
          <w:lang w:val="en-GB"/>
        </w:rPr>
        <w:t xml:space="preserve"> </w:t>
      </w:r>
      <w:r w:rsidR="00504BF7">
        <w:rPr>
          <w:rFonts w:ascii="Arial" w:hAnsi="Arial" w:cs="Arial"/>
          <w:i/>
          <w:color w:val="222222"/>
          <w:sz w:val="20"/>
          <w:szCs w:val="20"/>
          <w:lang w:val="en-GB"/>
        </w:rPr>
        <w:t>Our business is resilient, as shown by an increasing level of revenues on a pro forma basis, in spite of a tough environment characterized by very low interest rates and fierce competition. Our balanced business model, our risk culture and our cautiousness on costs, allowed us to steadily go through the four seasons of the economical cycle</w:t>
      </w:r>
      <w:r w:rsidRPr="00277EF4">
        <w:rPr>
          <w:rFonts w:ascii="Arial" w:hAnsi="Arial" w:cs="Arial"/>
          <w:i/>
          <w:color w:val="222222"/>
          <w:sz w:val="20"/>
          <w:szCs w:val="20"/>
          <w:lang w:val="en-GB"/>
        </w:rPr>
        <w:t xml:space="preserve">. </w:t>
      </w:r>
      <w:r w:rsidR="00504BF7">
        <w:rPr>
          <w:rFonts w:ascii="Arial" w:hAnsi="Arial" w:cs="Arial"/>
          <w:i/>
          <w:color w:val="222222"/>
          <w:sz w:val="20"/>
          <w:szCs w:val="20"/>
          <w:lang w:val="en-GB"/>
        </w:rPr>
        <w:t xml:space="preserve">More importantly, our client-centric strategy pays off, as proven by both the expansion </w:t>
      </w:r>
      <w:r w:rsidR="0005586B">
        <w:rPr>
          <w:rFonts w:ascii="Arial" w:hAnsi="Arial" w:cs="Arial"/>
          <w:i/>
          <w:color w:val="222222"/>
          <w:sz w:val="20"/>
          <w:szCs w:val="20"/>
          <w:lang w:val="en-GB"/>
        </w:rPr>
        <w:t xml:space="preserve">of </w:t>
      </w:r>
      <w:r w:rsidR="00896FEE">
        <w:rPr>
          <w:rFonts w:ascii="Arial" w:hAnsi="Arial" w:cs="Arial"/>
          <w:i/>
          <w:color w:val="222222"/>
          <w:sz w:val="20"/>
          <w:szCs w:val="20"/>
          <w:lang w:val="en-GB"/>
        </w:rPr>
        <w:t xml:space="preserve">business </w:t>
      </w:r>
      <w:r w:rsidR="0005586B">
        <w:rPr>
          <w:rFonts w:ascii="Arial" w:hAnsi="Arial" w:cs="Arial"/>
          <w:i/>
          <w:color w:val="222222"/>
          <w:sz w:val="20"/>
          <w:szCs w:val="20"/>
          <w:lang w:val="en-GB"/>
        </w:rPr>
        <w:t>operation</w:t>
      </w:r>
      <w:r w:rsidR="00896FEE">
        <w:rPr>
          <w:rFonts w:ascii="Arial" w:hAnsi="Arial" w:cs="Arial"/>
          <w:i/>
          <w:color w:val="222222"/>
          <w:sz w:val="20"/>
          <w:szCs w:val="20"/>
          <w:lang w:val="en-GB"/>
        </w:rPr>
        <w:t>s</w:t>
      </w:r>
      <w:r w:rsidR="0005586B">
        <w:rPr>
          <w:rFonts w:ascii="Arial" w:hAnsi="Arial" w:cs="Arial"/>
          <w:i/>
          <w:color w:val="222222"/>
          <w:sz w:val="20"/>
          <w:szCs w:val="20"/>
          <w:lang w:val="en-GB"/>
        </w:rPr>
        <w:t xml:space="preserve"> </w:t>
      </w:r>
      <w:r w:rsidR="00504BF7">
        <w:rPr>
          <w:rFonts w:ascii="Arial" w:hAnsi="Arial" w:cs="Arial"/>
          <w:i/>
          <w:color w:val="222222"/>
          <w:sz w:val="20"/>
          <w:szCs w:val="20"/>
          <w:lang w:val="en-GB"/>
        </w:rPr>
        <w:t>and the loyalty of our clients.</w:t>
      </w:r>
      <w:r w:rsidRPr="00277EF4">
        <w:rPr>
          <w:rFonts w:ascii="Arial" w:hAnsi="Arial" w:cs="Arial"/>
          <w:i/>
          <w:color w:val="222222"/>
          <w:sz w:val="20"/>
          <w:szCs w:val="20"/>
          <w:lang w:val="en-GB"/>
        </w:rPr>
        <w:t>"</w:t>
      </w:r>
    </w:p>
    <w:p w:rsidR="0049362D" w:rsidRPr="0049362D" w:rsidRDefault="0049362D" w:rsidP="0049362D">
      <w:pPr>
        <w:pStyle w:val="daljsinaslov0"/>
        <w:spacing w:before="0" w:beforeAutospacing="0" w:after="0" w:afterAutospacing="0"/>
        <w:jc w:val="both"/>
        <w:rPr>
          <w:rFonts w:ascii="Arial" w:hAnsi="Arial" w:cs="Arial"/>
          <w:i/>
          <w:color w:val="222222"/>
          <w:sz w:val="20"/>
          <w:szCs w:val="20"/>
          <w:lang w:val="en-GB"/>
        </w:rPr>
      </w:pPr>
    </w:p>
    <w:p w:rsidR="0049362D" w:rsidRPr="0049362D" w:rsidRDefault="0049362D" w:rsidP="0049362D">
      <w:pPr>
        <w:pStyle w:val="daljsinaslov0"/>
        <w:spacing w:before="0" w:beforeAutospacing="0" w:after="0" w:afterAutospacing="0"/>
        <w:jc w:val="both"/>
        <w:rPr>
          <w:rFonts w:ascii="Arial" w:hAnsi="Arial" w:cs="Arial"/>
          <w:i/>
          <w:color w:val="222222"/>
          <w:sz w:val="20"/>
          <w:szCs w:val="20"/>
          <w:lang w:val="en-GB"/>
        </w:rPr>
      </w:pPr>
    </w:p>
    <w:p w:rsidR="0049362D" w:rsidRPr="0049362D" w:rsidRDefault="0049362D" w:rsidP="0049362D">
      <w:pPr>
        <w:pStyle w:val="daljsinaslov0"/>
        <w:spacing w:before="0" w:beforeAutospacing="0" w:after="0" w:afterAutospacing="0"/>
        <w:jc w:val="both"/>
        <w:rPr>
          <w:rFonts w:ascii="Arial" w:hAnsi="Arial" w:cs="Arial"/>
          <w:sz w:val="20"/>
          <w:szCs w:val="20"/>
          <w:lang w:val="en-GB"/>
        </w:rPr>
      </w:pPr>
    </w:p>
    <w:p w:rsidR="0049362D" w:rsidRPr="0049362D" w:rsidRDefault="0049362D" w:rsidP="0049362D">
      <w:pPr>
        <w:pStyle w:val="Tekstsporocila"/>
        <w:jc w:val="both"/>
        <w:rPr>
          <w:b/>
          <w:bCs/>
          <w:i/>
          <w:iCs/>
          <w:sz w:val="16"/>
          <w:szCs w:val="16"/>
          <w:lang w:val="en-GB"/>
        </w:rPr>
      </w:pPr>
      <w:r w:rsidRPr="0049362D">
        <w:rPr>
          <w:b/>
          <w:sz w:val="16"/>
          <w:szCs w:val="16"/>
          <w:lang w:val="en-GB"/>
        </w:rPr>
        <w:t>Additional information:</w:t>
      </w:r>
      <w:r w:rsidRPr="0049362D">
        <w:rPr>
          <w:sz w:val="16"/>
          <w:szCs w:val="16"/>
          <w:lang w:val="en-GB"/>
        </w:rPr>
        <w:t xml:space="preserve"> Jelka Novak Katona, Head of Corporate communication SKB d.d., phone: +386 1 471 59 79, e-mail: </w:t>
      </w:r>
      <w:hyperlink r:id="rId8" w:history="1">
        <w:r w:rsidRPr="0049362D">
          <w:rPr>
            <w:rStyle w:val="Hyperlink"/>
            <w:rFonts w:cs="Arial"/>
            <w:sz w:val="16"/>
            <w:szCs w:val="16"/>
            <w:lang w:val="en-GB"/>
          </w:rPr>
          <w:t>jelka.novak-katona@skb.si</w:t>
        </w:r>
      </w:hyperlink>
    </w:p>
    <w:p w:rsidR="0049362D" w:rsidRPr="00F37898" w:rsidRDefault="0049362D" w:rsidP="0049362D">
      <w:pPr>
        <w:pStyle w:val="daljsinaslov0"/>
        <w:spacing w:before="0" w:beforeAutospacing="0" w:after="0" w:afterAutospacing="0"/>
        <w:rPr>
          <w:rFonts w:ascii="Arial" w:hAnsi="Arial" w:cs="Arial"/>
          <w:sz w:val="20"/>
          <w:szCs w:val="20"/>
          <w:lang w:val="en-GB"/>
        </w:rPr>
      </w:pPr>
    </w:p>
    <w:sectPr w:rsidR="0049362D" w:rsidRPr="00F37898" w:rsidSect="00466D65">
      <w:headerReference w:type="default" r:id="rId9"/>
      <w:footerReference w:type="default" r:id="rId10"/>
      <w:headerReference w:type="first" r:id="rId11"/>
      <w:footerReference w:type="first" r:id="rId12"/>
      <w:type w:val="continuous"/>
      <w:pgSz w:w="11906" w:h="16838" w:code="9"/>
      <w:pgMar w:top="2268" w:right="1106" w:bottom="1134" w:left="1134" w:header="0" w:footer="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D2" w:rsidRDefault="00A078D2">
      <w:r>
        <w:separator/>
      </w:r>
    </w:p>
  </w:endnote>
  <w:endnote w:type="continuationSeparator" w:id="0">
    <w:p w:rsidR="00A078D2" w:rsidRDefault="00A07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5D" w:rsidRDefault="00E45F2C">
    <w:pPr>
      <w:tabs>
        <w:tab w:val="right" w:pos="9720"/>
      </w:tabs>
      <w:ind w:right="-54"/>
    </w:pPr>
    <w:r w:rsidRPr="00E45F2C">
      <w:rPr>
        <w:noProof/>
        <w:lang w:val="en-US" w:eastAsia="en-US"/>
      </w:rPr>
      <w:pict>
        <v:shapetype id="_x0000_t202" coordsize="21600,21600" o:spt="202" path="m,l,21600r21600,l21600,xe">
          <v:stroke joinstyle="miter"/>
          <v:path gradientshapeok="t" o:connecttype="rect"/>
        </v:shapetype>
        <v:shape id="_x0000_s7170" type="#_x0000_t202" style="position:absolute;margin-left:430.9pt;margin-top:806.55pt;width:108pt;height: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UH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" filled="f" stroked="f">
          <v:textbox inset="0,0,0,0">
            <w:txbxContent>
              <w:p w:rsidR="0088065D" w:rsidRDefault="00E45F2C">
                <w:pPr>
                  <w:jc w:val="right"/>
                  <w:rPr>
                    <w:rFonts w:ascii="Arial" w:hAnsi="Arial" w:cs="Arial"/>
                    <w:sz w:val="12"/>
                  </w:rPr>
                </w:pPr>
                <w:r>
                  <w:rPr>
                    <w:rFonts w:ascii="Arial" w:hAnsi="Arial" w:cs="Arial"/>
                    <w:sz w:val="12"/>
                  </w:rPr>
                  <w:fldChar w:fldCharType="begin"/>
                </w:r>
                <w:r w:rsidR="0088065D">
                  <w:rPr>
                    <w:rFonts w:ascii="Arial" w:hAnsi="Arial" w:cs="Arial"/>
                    <w:sz w:val="12"/>
                  </w:rPr>
                  <w:instrText xml:space="preserve"> PAGE </w:instrText>
                </w:r>
                <w:r>
                  <w:rPr>
                    <w:rFonts w:ascii="Arial" w:hAnsi="Arial" w:cs="Arial"/>
                    <w:sz w:val="12"/>
                  </w:rPr>
                  <w:fldChar w:fldCharType="separate"/>
                </w:r>
                <w:r w:rsidR="003B384D">
                  <w:rPr>
                    <w:rFonts w:ascii="Arial" w:hAnsi="Arial" w:cs="Arial"/>
                    <w:noProof/>
                    <w:sz w:val="12"/>
                  </w:rPr>
                  <w:t>2</w:t>
                </w:r>
                <w:r>
                  <w:rPr>
                    <w:rFonts w:ascii="Arial" w:hAnsi="Arial" w:cs="Arial"/>
                    <w:sz w:val="12"/>
                  </w:rPr>
                  <w:fldChar w:fldCharType="end"/>
                </w:r>
              </w:p>
            </w:txbxContent>
          </v:textbox>
          <w10:wrap anchorx="page" anchory="page"/>
          <w10:anchorlock/>
        </v:shape>
      </w:pict>
    </w:r>
    <w:r w:rsidR="0088065D">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-345440</wp:posOffset>
          </wp:positionV>
          <wp:extent cx="6120130" cy="519430"/>
          <wp:effectExtent l="19050" t="0" r="0" b="0"/>
          <wp:wrapNone/>
          <wp:docPr id="1" name="Picture 1" descr="noga-pogodb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ga-pogodba_2"/>
                  <pic:cNvPicPr>
                    <a:picLocks noChangeAspect="1" noChangeArrowheads="1"/>
                  </pic:cNvPicPr>
                </pic:nvPicPr>
                <pic:blipFill>
                  <a:blip r:embed="rId1"/>
                  <a:srcRect/>
                  <a:stretch>
                    <a:fillRect/>
                  </a:stretch>
                </pic:blipFill>
                <pic:spPr bwMode="auto">
                  <a:xfrm>
                    <a:off x="0" y="0"/>
                    <a:ext cx="6120130" cy="51943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5D" w:rsidRDefault="0088065D">
    <w:r>
      <w:rPr>
        <w:noProof/>
      </w:rPr>
      <w:drawing>
        <wp:inline distT="0" distB="0" distL="0" distR="0">
          <wp:extent cx="6122670" cy="5118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22670" cy="511810"/>
                  </a:xfrm>
                  <a:prstGeom prst="rect">
                    <a:avLst/>
                  </a:prstGeom>
                  <a:noFill/>
                  <a:ln w="9525">
                    <a:noFill/>
                    <a:miter lim="800000"/>
                    <a:headEnd/>
                    <a:tailEnd/>
                  </a:ln>
                </pic:spPr>
              </pic:pic>
            </a:graphicData>
          </a:graphic>
        </wp:inline>
      </w:drawing>
    </w:r>
    <w:r w:rsidR="00E45F2C" w:rsidRPr="00E45F2C">
      <w:rPr>
        <w:noProof/>
        <w:lang w:val="en-US" w:eastAsia="en-US"/>
      </w:rPr>
      <w:pict>
        <v:shapetype id="_x0000_t202" coordsize="21600,21600" o:spt="202" path="m,l,21600r21600,l21600,xe">
          <v:stroke joinstyle="miter"/>
          <v:path gradientshapeok="t" o:connecttype="rect"/>
        </v:shapetype>
        <v:shape id="Text Box 1" o:spid="_x0000_s7169" type="#_x0000_t202" style="position:absolute;margin-left:506.7pt;margin-top:11in;width:32.2pt;height:9.2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" filled="f" stroked="f">
          <v:textbox inset="0,0,0,0">
            <w:txbxContent>
              <w:p w:rsidR="0088065D" w:rsidRDefault="0088065D">
                <w:pPr>
                  <w:jc w:val="right"/>
                  <w:rPr>
                    <w:rFonts w:ascii="Arial" w:hAnsi="Arial" w:cs="Arial"/>
                    <w:sz w:val="12"/>
                  </w:rPr>
                </w:pPr>
                <w:r>
                  <w:rPr>
                    <w:rFonts w:ascii="Arial" w:hAnsi="Arial" w:cs="Arial"/>
                    <w:sz w:val="12"/>
                  </w:rPr>
                  <w:t>1</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D2" w:rsidRDefault="00A078D2">
      <w:r>
        <w:separator/>
      </w:r>
    </w:p>
  </w:footnote>
  <w:footnote w:type="continuationSeparator" w:id="0">
    <w:p w:rsidR="00A078D2" w:rsidRDefault="00A078D2">
      <w:r>
        <w:continuationSeparator/>
      </w:r>
    </w:p>
  </w:footnote>
  <w:footnote w:id="1">
    <w:p w:rsidR="0088065D" w:rsidRPr="002F3C95" w:rsidRDefault="0088065D">
      <w:pPr>
        <w:pStyle w:val="FootnoteText"/>
        <w:rPr>
          <w:rFonts w:ascii="Arial" w:hAnsi="Arial" w:cs="Arial"/>
          <w:sz w:val="16"/>
          <w:szCs w:val="16"/>
          <w:lang w:val="en-GB"/>
        </w:rPr>
      </w:pPr>
      <w:r w:rsidRPr="002F3C95">
        <w:rPr>
          <w:rStyle w:val="FootnoteReference"/>
          <w:rFonts w:ascii="Arial" w:hAnsi="Arial" w:cs="Arial"/>
          <w:sz w:val="16"/>
          <w:szCs w:val="16"/>
          <w:lang w:val="en-GB"/>
        </w:rPr>
        <w:footnoteRef/>
      </w:r>
      <w:r w:rsidRPr="002F3C95">
        <w:rPr>
          <w:rFonts w:ascii="Arial" w:hAnsi="Arial" w:cs="Arial"/>
          <w:sz w:val="16"/>
          <w:szCs w:val="16"/>
          <w:lang w:val="en-GB"/>
        </w:rPr>
        <w:t xml:space="preserve"> SKB Group consists of SKB Bank</w:t>
      </w:r>
      <w:r w:rsidR="00FE06DA" w:rsidRPr="002F3C95">
        <w:rPr>
          <w:rFonts w:ascii="Arial" w:hAnsi="Arial" w:cs="Arial"/>
          <w:sz w:val="16"/>
          <w:szCs w:val="16"/>
          <w:lang w:val="en-GB"/>
        </w:rPr>
        <w:t>,</w:t>
      </w:r>
      <w:r w:rsidRPr="002F3C95">
        <w:rPr>
          <w:rFonts w:ascii="Arial" w:hAnsi="Arial" w:cs="Arial"/>
          <w:sz w:val="16"/>
          <w:szCs w:val="16"/>
          <w:lang w:val="en-GB"/>
        </w:rPr>
        <w:t xml:space="preserve"> SKB Leasing and SKB Leasing Select.</w:t>
      </w:r>
    </w:p>
  </w:footnote>
  <w:footnote w:id="2">
    <w:p w:rsidR="00AE40A7" w:rsidRPr="00277EF4" w:rsidRDefault="00AE40A7" w:rsidP="00AE40A7">
      <w:pPr>
        <w:pStyle w:val="daljsinaslov0"/>
        <w:spacing w:before="0" w:beforeAutospacing="0" w:after="0" w:afterAutospacing="0"/>
        <w:rPr>
          <w:rFonts w:ascii="Arial" w:hAnsi="Arial" w:cs="Arial"/>
          <w:b/>
          <w:sz w:val="20"/>
          <w:szCs w:val="20"/>
          <w:highlight w:val="yellow"/>
          <w:lang w:val="en-GB"/>
        </w:rPr>
      </w:pPr>
      <w:r w:rsidRPr="002F3C95">
        <w:rPr>
          <w:rStyle w:val="FootnoteReference"/>
          <w:rFonts w:ascii="Arial" w:hAnsi="Arial"/>
          <w:sz w:val="16"/>
          <w:szCs w:val="16"/>
          <w:lang w:val="en-GB"/>
        </w:rPr>
        <w:footnoteRef/>
      </w:r>
      <w:r w:rsidRPr="002F3C95">
        <w:rPr>
          <w:rFonts w:ascii="Arial" w:hAnsi="Arial" w:cs="Arial"/>
          <w:sz w:val="20"/>
          <w:szCs w:val="20"/>
          <w:lang w:val="en-GB"/>
        </w:rPr>
        <w:t xml:space="preserve"> </w:t>
      </w:r>
      <w:r w:rsidRPr="002F3C95">
        <w:rPr>
          <w:rStyle w:val="shorttext"/>
          <w:rFonts w:ascii="Arial" w:hAnsi="Arial" w:cs="Arial"/>
          <w:color w:val="222222"/>
          <w:sz w:val="16"/>
          <w:szCs w:val="16"/>
          <w:lang w:val="en-GB"/>
        </w:rPr>
        <w:t>Excluding extraordinary revenues in 2016 and 2017 from the sale of capital investments and dividends received.</w:t>
      </w:r>
    </w:p>
    <w:p w:rsidR="00AE40A7" w:rsidRDefault="00AE40A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5D" w:rsidRDefault="0088065D">
    <w:r>
      <w:rPr>
        <w:noProof/>
      </w:rPr>
      <w:drawing>
        <wp:inline distT="0" distB="0" distL="0" distR="0">
          <wp:extent cx="6122670" cy="1199515"/>
          <wp:effectExtent l="19050" t="0" r="0" b="0"/>
          <wp:docPr id="3" name="Picture 2" descr="glava-obrazec_S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obrazec_SLO-2"/>
                  <pic:cNvPicPr>
                    <a:picLocks noChangeAspect="1" noChangeArrowheads="1"/>
                  </pic:cNvPicPr>
                </pic:nvPicPr>
                <pic:blipFill>
                  <a:blip r:embed="rId1"/>
                  <a:srcRect/>
                  <a:stretch>
                    <a:fillRect/>
                  </a:stretch>
                </pic:blipFill>
                <pic:spPr bwMode="auto">
                  <a:xfrm>
                    <a:off x="0" y="0"/>
                    <a:ext cx="6122670" cy="11995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5D" w:rsidRDefault="0088065D">
    <w:bookmarkStart w:id="1" w:name="OLE_LINK1"/>
    <w:bookmarkStart w:id="2" w:name="OLE_LINK2"/>
    <w:r>
      <w:rPr>
        <w:noProof/>
      </w:rPr>
      <w:drawing>
        <wp:inline distT="0" distB="0" distL="0" distR="0">
          <wp:extent cx="6122670" cy="1199515"/>
          <wp:effectExtent l="19050" t="0" r="0" b="0"/>
          <wp:docPr id="2" name="Picture 1" descr="Template_Header_Colo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Header_Color_SLO"/>
                  <pic:cNvPicPr>
                    <a:picLocks noChangeAspect="1" noChangeArrowheads="1"/>
                  </pic:cNvPicPr>
                </pic:nvPicPr>
                <pic:blipFill>
                  <a:blip r:embed="rId1"/>
                  <a:srcRect/>
                  <a:stretch>
                    <a:fillRect/>
                  </a:stretch>
                </pic:blipFill>
                <pic:spPr bwMode="auto">
                  <a:xfrm>
                    <a:off x="0" y="0"/>
                    <a:ext cx="6122670" cy="1199515"/>
                  </a:xfrm>
                  <a:prstGeom prst="rect">
                    <a:avLst/>
                  </a:prstGeom>
                  <a:noFill/>
                  <a:ln w="9525">
                    <a:noFill/>
                    <a:miter lim="800000"/>
                    <a:headEnd/>
                    <a:tailEnd/>
                  </a:ln>
                </pic:spPr>
              </pic:pic>
            </a:graphicData>
          </a:graphic>
        </wp:inline>
      </w:drawing>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899"/>
    <w:multiLevelType w:val="hybridMultilevel"/>
    <w:tmpl w:val="E7263F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F524796"/>
    <w:multiLevelType w:val="hybridMultilevel"/>
    <w:tmpl w:val="F034A52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21545EBD"/>
    <w:multiLevelType w:val="hybridMultilevel"/>
    <w:tmpl w:val="6224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F385B"/>
    <w:multiLevelType w:val="hybridMultilevel"/>
    <w:tmpl w:val="00DAE4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8B5615F"/>
    <w:multiLevelType w:val="hybridMultilevel"/>
    <w:tmpl w:val="64AC9C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B184AFC"/>
    <w:multiLevelType w:val="hybridMultilevel"/>
    <w:tmpl w:val="8F74E22E"/>
    <w:lvl w:ilvl="0" w:tplc="2DD24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A5C9F"/>
    <w:multiLevelType w:val="hybridMultilevel"/>
    <w:tmpl w:val="81C02D8A"/>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7">
    <w:nsid w:val="4ED040C3"/>
    <w:multiLevelType w:val="hybridMultilevel"/>
    <w:tmpl w:val="8F36914E"/>
    <w:lvl w:ilvl="0" w:tplc="04240005">
      <w:start w:val="1"/>
      <w:numFmt w:val="bullet"/>
      <w:lvlText w:val=""/>
      <w:lvlJc w:val="left"/>
      <w:pPr>
        <w:tabs>
          <w:tab w:val="num" w:pos="587"/>
        </w:tabs>
        <w:ind w:left="587" w:hanging="360"/>
      </w:pPr>
      <w:rPr>
        <w:rFonts w:ascii="Wingdings" w:hAnsi="Wingdings" w:hint="default"/>
      </w:rPr>
    </w:lvl>
    <w:lvl w:ilvl="1" w:tplc="04240003" w:tentative="1">
      <w:start w:val="1"/>
      <w:numFmt w:val="bullet"/>
      <w:lvlText w:val="o"/>
      <w:lvlJc w:val="left"/>
      <w:pPr>
        <w:tabs>
          <w:tab w:val="num" w:pos="1307"/>
        </w:tabs>
        <w:ind w:left="1307" w:hanging="360"/>
      </w:pPr>
      <w:rPr>
        <w:rFonts w:ascii="Courier New" w:hAnsi="Courier New" w:hint="default"/>
      </w:rPr>
    </w:lvl>
    <w:lvl w:ilvl="2" w:tplc="04240005" w:tentative="1">
      <w:start w:val="1"/>
      <w:numFmt w:val="bullet"/>
      <w:lvlText w:val=""/>
      <w:lvlJc w:val="left"/>
      <w:pPr>
        <w:tabs>
          <w:tab w:val="num" w:pos="2027"/>
        </w:tabs>
        <w:ind w:left="2027" w:hanging="360"/>
      </w:pPr>
      <w:rPr>
        <w:rFonts w:ascii="Wingdings" w:hAnsi="Wingdings" w:hint="default"/>
      </w:rPr>
    </w:lvl>
    <w:lvl w:ilvl="3" w:tplc="04240001" w:tentative="1">
      <w:start w:val="1"/>
      <w:numFmt w:val="bullet"/>
      <w:lvlText w:val=""/>
      <w:lvlJc w:val="left"/>
      <w:pPr>
        <w:tabs>
          <w:tab w:val="num" w:pos="2747"/>
        </w:tabs>
        <w:ind w:left="2747" w:hanging="360"/>
      </w:pPr>
      <w:rPr>
        <w:rFonts w:ascii="Symbol" w:hAnsi="Symbol" w:hint="default"/>
      </w:rPr>
    </w:lvl>
    <w:lvl w:ilvl="4" w:tplc="04240003" w:tentative="1">
      <w:start w:val="1"/>
      <w:numFmt w:val="bullet"/>
      <w:lvlText w:val="o"/>
      <w:lvlJc w:val="left"/>
      <w:pPr>
        <w:tabs>
          <w:tab w:val="num" w:pos="3467"/>
        </w:tabs>
        <w:ind w:left="3467" w:hanging="360"/>
      </w:pPr>
      <w:rPr>
        <w:rFonts w:ascii="Courier New" w:hAnsi="Courier New" w:hint="default"/>
      </w:rPr>
    </w:lvl>
    <w:lvl w:ilvl="5" w:tplc="04240005" w:tentative="1">
      <w:start w:val="1"/>
      <w:numFmt w:val="bullet"/>
      <w:lvlText w:val=""/>
      <w:lvlJc w:val="left"/>
      <w:pPr>
        <w:tabs>
          <w:tab w:val="num" w:pos="4187"/>
        </w:tabs>
        <w:ind w:left="4187" w:hanging="360"/>
      </w:pPr>
      <w:rPr>
        <w:rFonts w:ascii="Wingdings" w:hAnsi="Wingdings" w:hint="default"/>
      </w:rPr>
    </w:lvl>
    <w:lvl w:ilvl="6" w:tplc="04240001" w:tentative="1">
      <w:start w:val="1"/>
      <w:numFmt w:val="bullet"/>
      <w:lvlText w:val=""/>
      <w:lvlJc w:val="left"/>
      <w:pPr>
        <w:tabs>
          <w:tab w:val="num" w:pos="4907"/>
        </w:tabs>
        <w:ind w:left="4907" w:hanging="360"/>
      </w:pPr>
      <w:rPr>
        <w:rFonts w:ascii="Symbol" w:hAnsi="Symbol" w:hint="default"/>
      </w:rPr>
    </w:lvl>
    <w:lvl w:ilvl="7" w:tplc="04240003" w:tentative="1">
      <w:start w:val="1"/>
      <w:numFmt w:val="bullet"/>
      <w:lvlText w:val="o"/>
      <w:lvlJc w:val="left"/>
      <w:pPr>
        <w:tabs>
          <w:tab w:val="num" w:pos="5627"/>
        </w:tabs>
        <w:ind w:left="5627" w:hanging="360"/>
      </w:pPr>
      <w:rPr>
        <w:rFonts w:ascii="Courier New" w:hAnsi="Courier New" w:hint="default"/>
      </w:rPr>
    </w:lvl>
    <w:lvl w:ilvl="8" w:tplc="04240005" w:tentative="1">
      <w:start w:val="1"/>
      <w:numFmt w:val="bullet"/>
      <w:lvlText w:val=""/>
      <w:lvlJc w:val="left"/>
      <w:pPr>
        <w:tabs>
          <w:tab w:val="num" w:pos="6347"/>
        </w:tabs>
        <w:ind w:left="6347" w:hanging="360"/>
      </w:pPr>
      <w:rPr>
        <w:rFonts w:ascii="Wingdings" w:hAnsi="Wingdings" w:hint="default"/>
      </w:rPr>
    </w:lvl>
  </w:abstractNum>
  <w:abstractNum w:abstractNumId="8">
    <w:nsid w:val="60A8474F"/>
    <w:multiLevelType w:val="hybridMultilevel"/>
    <w:tmpl w:val="D2BE75B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76FD14E9"/>
    <w:multiLevelType w:val="hybridMultilevel"/>
    <w:tmpl w:val="D2767FA0"/>
    <w:lvl w:ilvl="0" w:tplc="7DF0FF3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Gardella">
    <w15:presenceInfo w15:providerId="AD" w15:userId="S-1-5-21-457919848-1565070059-1994159406-402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hdrShapeDefaults>
    <o:shapedefaults v:ext="edit" spidmax="12290"/>
    <o:shapelayout v:ext="edit">
      <o:idmap v:ext="edit" data="7"/>
    </o:shapelayout>
  </w:hdrShapeDefaults>
  <w:footnotePr>
    <w:footnote w:id="-1"/>
    <w:footnote w:id="0"/>
  </w:footnotePr>
  <w:endnotePr>
    <w:endnote w:id="-1"/>
    <w:endnote w:id="0"/>
  </w:endnotePr>
  <w:compat/>
  <w:rsids>
    <w:rsidRoot w:val="00466D65"/>
    <w:rsid w:val="00003C4F"/>
    <w:rsid w:val="0000562E"/>
    <w:rsid w:val="00012228"/>
    <w:rsid w:val="00012359"/>
    <w:rsid w:val="00027744"/>
    <w:rsid w:val="000462BB"/>
    <w:rsid w:val="00046446"/>
    <w:rsid w:val="00047D01"/>
    <w:rsid w:val="000500CD"/>
    <w:rsid w:val="00053272"/>
    <w:rsid w:val="0005521A"/>
    <w:rsid w:val="0005586B"/>
    <w:rsid w:val="000705CF"/>
    <w:rsid w:val="00072E22"/>
    <w:rsid w:val="00076F40"/>
    <w:rsid w:val="00092316"/>
    <w:rsid w:val="000923B3"/>
    <w:rsid w:val="00094826"/>
    <w:rsid w:val="00095095"/>
    <w:rsid w:val="000A36A7"/>
    <w:rsid w:val="000A67E8"/>
    <w:rsid w:val="000B4498"/>
    <w:rsid w:val="000C12FD"/>
    <w:rsid w:val="000C307D"/>
    <w:rsid w:val="000C4E23"/>
    <w:rsid w:val="000D6AA4"/>
    <w:rsid w:val="000E40BF"/>
    <w:rsid w:val="000E5A7E"/>
    <w:rsid w:val="000F6273"/>
    <w:rsid w:val="00104930"/>
    <w:rsid w:val="001049AA"/>
    <w:rsid w:val="001124C5"/>
    <w:rsid w:val="00114AE5"/>
    <w:rsid w:val="00121398"/>
    <w:rsid w:val="00137EAB"/>
    <w:rsid w:val="001638D0"/>
    <w:rsid w:val="00171591"/>
    <w:rsid w:val="001732C4"/>
    <w:rsid w:val="001749BA"/>
    <w:rsid w:val="00174E84"/>
    <w:rsid w:val="001859F5"/>
    <w:rsid w:val="00187B9F"/>
    <w:rsid w:val="001904DE"/>
    <w:rsid w:val="00192A17"/>
    <w:rsid w:val="001947B9"/>
    <w:rsid w:val="00194B45"/>
    <w:rsid w:val="001A2F89"/>
    <w:rsid w:val="001A3034"/>
    <w:rsid w:val="001B4FB2"/>
    <w:rsid w:val="001B663E"/>
    <w:rsid w:val="001C3950"/>
    <w:rsid w:val="001C6AC5"/>
    <w:rsid w:val="001D15B8"/>
    <w:rsid w:val="001D4065"/>
    <w:rsid w:val="001D7FE4"/>
    <w:rsid w:val="001E2513"/>
    <w:rsid w:val="001E73B8"/>
    <w:rsid w:val="00204A3E"/>
    <w:rsid w:val="00212E5D"/>
    <w:rsid w:val="00212FB2"/>
    <w:rsid w:val="0022206A"/>
    <w:rsid w:val="0022714A"/>
    <w:rsid w:val="002271A3"/>
    <w:rsid w:val="002344F6"/>
    <w:rsid w:val="00236938"/>
    <w:rsid w:val="002410B5"/>
    <w:rsid w:val="00253FBB"/>
    <w:rsid w:val="002652D3"/>
    <w:rsid w:val="002656FF"/>
    <w:rsid w:val="002708CF"/>
    <w:rsid w:val="00271D2B"/>
    <w:rsid w:val="0027384B"/>
    <w:rsid w:val="00277EF4"/>
    <w:rsid w:val="00281F45"/>
    <w:rsid w:val="002879CD"/>
    <w:rsid w:val="00291CCF"/>
    <w:rsid w:val="00294200"/>
    <w:rsid w:val="002A3FE1"/>
    <w:rsid w:val="002A5C02"/>
    <w:rsid w:val="002B2447"/>
    <w:rsid w:val="002B3468"/>
    <w:rsid w:val="002C05DF"/>
    <w:rsid w:val="002C34D1"/>
    <w:rsid w:val="002C75A1"/>
    <w:rsid w:val="002D2C0E"/>
    <w:rsid w:val="002D3530"/>
    <w:rsid w:val="002D671C"/>
    <w:rsid w:val="002F0EE7"/>
    <w:rsid w:val="002F227D"/>
    <w:rsid w:val="002F3C95"/>
    <w:rsid w:val="002F57C6"/>
    <w:rsid w:val="0031210A"/>
    <w:rsid w:val="00324C3B"/>
    <w:rsid w:val="00332C6B"/>
    <w:rsid w:val="00332EC4"/>
    <w:rsid w:val="0033524C"/>
    <w:rsid w:val="00340484"/>
    <w:rsid w:val="00343C0C"/>
    <w:rsid w:val="003447EA"/>
    <w:rsid w:val="003458F6"/>
    <w:rsid w:val="003504C0"/>
    <w:rsid w:val="0035416E"/>
    <w:rsid w:val="003620B7"/>
    <w:rsid w:val="00372E78"/>
    <w:rsid w:val="003777D2"/>
    <w:rsid w:val="00383A5F"/>
    <w:rsid w:val="00384DB8"/>
    <w:rsid w:val="00385F15"/>
    <w:rsid w:val="003875F6"/>
    <w:rsid w:val="00392A18"/>
    <w:rsid w:val="003B384D"/>
    <w:rsid w:val="003B6320"/>
    <w:rsid w:val="003C124C"/>
    <w:rsid w:val="003C47AD"/>
    <w:rsid w:val="003D7EE1"/>
    <w:rsid w:val="003F0C56"/>
    <w:rsid w:val="003F10F7"/>
    <w:rsid w:val="003F1890"/>
    <w:rsid w:val="003F5AA8"/>
    <w:rsid w:val="00412FBE"/>
    <w:rsid w:val="00422640"/>
    <w:rsid w:val="00423E7F"/>
    <w:rsid w:val="00430ADD"/>
    <w:rsid w:val="00435F29"/>
    <w:rsid w:val="00462EE5"/>
    <w:rsid w:val="0046633C"/>
    <w:rsid w:val="00466D65"/>
    <w:rsid w:val="00471214"/>
    <w:rsid w:val="00475E56"/>
    <w:rsid w:val="00477873"/>
    <w:rsid w:val="004823D4"/>
    <w:rsid w:val="00482609"/>
    <w:rsid w:val="004841F8"/>
    <w:rsid w:val="004849F6"/>
    <w:rsid w:val="004862BE"/>
    <w:rsid w:val="0049362D"/>
    <w:rsid w:val="00493D5E"/>
    <w:rsid w:val="004A3D78"/>
    <w:rsid w:val="004A7B38"/>
    <w:rsid w:val="004B7C14"/>
    <w:rsid w:val="004C74A6"/>
    <w:rsid w:val="004D0954"/>
    <w:rsid w:val="004D6E90"/>
    <w:rsid w:val="004E20DD"/>
    <w:rsid w:val="004F4DBD"/>
    <w:rsid w:val="004F77AE"/>
    <w:rsid w:val="00504BF7"/>
    <w:rsid w:val="0051149D"/>
    <w:rsid w:val="0053402C"/>
    <w:rsid w:val="005357F2"/>
    <w:rsid w:val="00554C00"/>
    <w:rsid w:val="00557644"/>
    <w:rsid w:val="00565A9B"/>
    <w:rsid w:val="00567B20"/>
    <w:rsid w:val="00572511"/>
    <w:rsid w:val="005727CE"/>
    <w:rsid w:val="00584539"/>
    <w:rsid w:val="00585CD9"/>
    <w:rsid w:val="005938D5"/>
    <w:rsid w:val="00595C23"/>
    <w:rsid w:val="0059695E"/>
    <w:rsid w:val="00597A4D"/>
    <w:rsid w:val="005A452B"/>
    <w:rsid w:val="005A6371"/>
    <w:rsid w:val="005A7500"/>
    <w:rsid w:val="005B6144"/>
    <w:rsid w:val="005C1F6F"/>
    <w:rsid w:val="005C40DB"/>
    <w:rsid w:val="005C4206"/>
    <w:rsid w:val="005E31CC"/>
    <w:rsid w:val="005F0108"/>
    <w:rsid w:val="005F7220"/>
    <w:rsid w:val="005F7404"/>
    <w:rsid w:val="00612437"/>
    <w:rsid w:val="00612CB8"/>
    <w:rsid w:val="00615C3C"/>
    <w:rsid w:val="00620B8B"/>
    <w:rsid w:val="00622ED5"/>
    <w:rsid w:val="006336A5"/>
    <w:rsid w:val="006411DB"/>
    <w:rsid w:val="00642653"/>
    <w:rsid w:val="00643724"/>
    <w:rsid w:val="006470B2"/>
    <w:rsid w:val="006507C6"/>
    <w:rsid w:val="00650E90"/>
    <w:rsid w:val="00656E27"/>
    <w:rsid w:val="006778BD"/>
    <w:rsid w:val="006801C7"/>
    <w:rsid w:val="00686D1F"/>
    <w:rsid w:val="0069449A"/>
    <w:rsid w:val="006952B0"/>
    <w:rsid w:val="00696D01"/>
    <w:rsid w:val="006A2F05"/>
    <w:rsid w:val="006B0FD5"/>
    <w:rsid w:val="006B15DF"/>
    <w:rsid w:val="006B4C28"/>
    <w:rsid w:val="006C7E91"/>
    <w:rsid w:val="006D3AE6"/>
    <w:rsid w:val="006D3C19"/>
    <w:rsid w:val="006E0CF9"/>
    <w:rsid w:val="006E1E51"/>
    <w:rsid w:val="006E4316"/>
    <w:rsid w:val="006E60DC"/>
    <w:rsid w:val="006E6E3D"/>
    <w:rsid w:val="006F35C7"/>
    <w:rsid w:val="007032B5"/>
    <w:rsid w:val="007041E1"/>
    <w:rsid w:val="007052B5"/>
    <w:rsid w:val="007272BA"/>
    <w:rsid w:val="00737144"/>
    <w:rsid w:val="007461F3"/>
    <w:rsid w:val="00753AFC"/>
    <w:rsid w:val="00755C4F"/>
    <w:rsid w:val="00755DFD"/>
    <w:rsid w:val="0076556E"/>
    <w:rsid w:val="00781548"/>
    <w:rsid w:val="007821F1"/>
    <w:rsid w:val="0078475D"/>
    <w:rsid w:val="0078628C"/>
    <w:rsid w:val="007879E9"/>
    <w:rsid w:val="007933A4"/>
    <w:rsid w:val="007A1FE9"/>
    <w:rsid w:val="007B725A"/>
    <w:rsid w:val="007C21EF"/>
    <w:rsid w:val="007C2B42"/>
    <w:rsid w:val="007C433F"/>
    <w:rsid w:val="007D2663"/>
    <w:rsid w:val="007D487C"/>
    <w:rsid w:val="007D7D46"/>
    <w:rsid w:val="007E28EF"/>
    <w:rsid w:val="007E5BDA"/>
    <w:rsid w:val="007E691F"/>
    <w:rsid w:val="007F11C7"/>
    <w:rsid w:val="007F215C"/>
    <w:rsid w:val="007F332E"/>
    <w:rsid w:val="007F628E"/>
    <w:rsid w:val="007F74E5"/>
    <w:rsid w:val="007F7554"/>
    <w:rsid w:val="00800298"/>
    <w:rsid w:val="00823046"/>
    <w:rsid w:val="00826B2B"/>
    <w:rsid w:val="00830910"/>
    <w:rsid w:val="00830C88"/>
    <w:rsid w:val="00830FDE"/>
    <w:rsid w:val="008353A3"/>
    <w:rsid w:val="00841337"/>
    <w:rsid w:val="00850CDD"/>
    <w:rsid w:val="00863C89"/>
    <w:rsid w:val="0087407C"/>
    <w:rsid w:val="00874C64"/>
    <w:rsid w:val="00877500"/>
    <w:rsid w:val="0088065D"/>
    <w:rsid w:val="00896FEE"/>
    <w:rsid w:val="008A2966"/>
    <w:rsid w:val="008A2C52"/>
    <w:rsid w:val="008A3D00"/>
    <w:rsid w:val="008A3DAC"/>
    <w:rsid w:val="008B007D"/>
    <w:rsid w:val="008B51DD"/>
    <w:rsid w:val="008C3E53"/>
    <w:rsid w:val="008C502E"/>
    <w:rsid w:val="008D3385"/>
    <w:rsid w:val="008E000D"/>
    <w:rsid w:val="008E1B8B"/>
    <w:rsid w:val="008E259E"/>
    <w:rsid w:val="008E3752"/>
    <w:rsid w:val="008E382E"/>
    <w:rsid w:val="008F0A0C"/>
    <w:rsid w:val="0090128A"/>
    <w:rsid w:val="00904608"/>
    <w:rsid w:val="00904E68"/>
    <w:rsid w:val="009173C1"/>
    <w:rsid w:val="00920CE9"/>
    <w:rsid w:val="00934D2D"/>
    <w:rsid w:val="00936865"/>
    <w:rsid w:val="00943F31"/>
    <w:rsid w:val="00956D90"/>
    <w:rsid w:val="00956EAC"/>
    <w:rsid w:val="00960C02"/>
    <w:rsid w:val="00963D17"/>
    <w:rsid w:val="009718F3"/>
    <w:rsid w:val="009746FB"/>
    <w:rsid w:val="00981EB6"/>
    <w:rsid w:val="00986432"/>
    <w:rsid w:val="00995448"/>
    <w:rsid w:val="009A2274"/>
    <w:rsid w:val="009A280F"/>
    <w:rsid w:val="009A5209"/>
    <w:rsid w:val="009B1C9A"/>
    <w:rsid w:val="009C1813"/>
    <w:rsid w:val="009C4621"/>
    <w:rsid w:val="009D1EB2"/>
    <w:rsid w:val="009D5621"/>
    <w:rsid w:val="009E0FA5"/>
    <w:rsid w:val="009E34AE"/>
    <w:rsid w:val="009E4CC9"/>
    <w:rsid w:val="009E62E8"/>
    <w:rsid w:val="00A078D2"/>
    <w:rsid w:val="00A139A7"/>
    <w:rsid w:val="00A1547B"/>
    <w:rsid w:val="00A15B49"/>
    <w:rsid w:val="00A16C2F"/>
    <w:rsid w:val="00A2331B"/>
    <w:rsid w:val="00A340C0"/>
    <w:rsid w:val="00A34FB5"/>
    <w:rsid w:val="00A36586"/>
    <w:rsid w:val="00A427E9"/>
    <w:rsid w:val="00A46146"/>
    <w:rsid w:val="00A46994"/>
    <w:rsid w:val="00A63E05"/>
    <w:rsid w:val="00A84318"/>
    <w:rsid w:val="00A92DF2"/>
    <w:rsid w:val="00A96F20"/>
    <w:rsid w:val="00AA1789"/>
    <w:rsid w:val="00AA71C3"/>
    <w:rsid w:val="00AB7070"/>
    <w:rsid w:val="00AB75C8"/>
    <w:rsid w:val="00AC0417"/>
    <w:rsid w:val="00AC136E"/>
    <w:rsid w:val="00AC57B6"/>
    <w:rsid w:val="00AD2F74"/>
    <w:rsid w:val="00AD4DE3"/>
    <w:rsid w:val="00AE40A7"/>
    <w:rsid w:val="00AE4246"/>
    <w:rsid w:val="00AE45A7"/>
    <w:rsid w:val="00AF65DC"/>
    <w:rsid w:val="00B05D51"/>
    <w:rsid w:val="00B10161"/>
    <w:rsid w:val="00B10390"/>
    <w:rsid w:val="00B129F9"/>
    <w:rsid w:val="00B260CD"/>
    <w:rsid w:val="00B34EE5"/>
    <w:rsid w:val="00B3535B"/>
    <w:rsid w:val="00B36DE1"/>
    <w:rsid w:val="00B40A1B"/>
    <w:rsid w:val="00B50D4A"/>
    <w:rsid w:val="00B53B00"/>
    <w:rsid w:val="00B70DB9"/>
    <w:rsid w:val="00B74E9C"/>
    <w:rsid w:val="00B8008C"/>
    <w:rsid w:val="00BA0897"/>
    <w:rsid w:val="00BA3692"/>
    <w:rsid w:val="00BA5931"/>
    <w:rsid w:val="00BB04F7"/>
    <w:rsid w:val="00BB1327"/>
    <w:rsid w:val="00BB3266"/>
    <w:rsid w:val="00BC11C8"/>
    <w:rsid w:val="00BD17E2"/>
    <w:rsid w:val="00BD2F3D"/>
    <w:rsid w:val="00BD5BCA"/>
    <w:rsid w:val="00BE0969"/>
    <w:rsid w:val="00BE19A6"/>
    <w:rsid w:val="00BF40FF"/>
    <w:rsid w:val="00C03B04"/>
    <w:rsid w:val="00C14C59"/>
    <w:rsid w:val="00C154AC"/>
    <w:rsid w:val="00C154C1"/>
    <w:rsid w:val="00C409D1"/>
    <w:rsid w:val="00C454DE"/>
    <w:rsid w:val="00C46261"/>
    <w:rsid w:val="00C52ACA"/>
    <w:rsid w:val="00C626EA"/>
    <w:rsid w:val="00C75E5D"/>
    <w:rsid w:val="00C7727F"/>
    <w:rsid w:val="00C8078B"/>
    <w:rsid w:val="00C821A6"/>
    <w:rsid w:val="00C82336"/>
    <w:rsid w:val="00C84F46"/>
    <w:rsid w:val="00C854D6"/>
    <w:rsid w:val="00C923EF"/>
    <w:rsid w:val="00CA16D6"/>
    <w:rsid w:val="00CA38C2"/>
    <w:rsid w:val="00CA613C"/>
    <w:rsid w:val="00CC218C"/>
    <w:rsid w:val="00CE4792"/>
    <w:rsid w:val="00CF175D"/>
    <w:rsid w:val="00CF7E45"/>
    <w:rsid w:val="00D02367"/>
    <w:rsid w:val="00D05C64"/>
    <w:rsid w:val="00D11DB0"/>
    <w:rsid w:val="00D15133"/>
    <w:rsid w:val="00D21BFE"/>
    <w:rsid w:val="00D2526A"/>
    <w:rsid w:val="00D252E0"/>
    <w:rsid w:val="00D36E18"/>
    <w:rsid w:val="00D40CD3"/>
    <w:rsid w:val="00D422E7"/>
    <w:rsid w:val="00D51E20"/>
    <w:rsid w:val="00D562AA"/>
    <w:rsid w:val="00D5673D"/>
    <w:rsid w:val="00D5754E"/>
    <w:rsid w:val="00D63C79"/>
    <w:rsid w:val="00D72467"/>
    <w:rsid w:val="00D91652"/>
    <w:rsid w:val="00DA4027"/>
    <w:rsid w:val="00DA4A4F"/>
    <w:rsid w:val="00DA6D32"/>
    <w:rsid w:val="00DA736A"/>
    <w:rsid w:val="00DA793C"/>
    <w:rsid w:val="00DB2233"/>
    <w:rsid w:val="00DC080D"/>
    <w:rsid w:val="00DC5C13"/>
    <w:rsid w:val="00DC6761"/>
    <w:rsid w:val="00DD38C2"/>
    <w:rsid w:val="00DE4A08"/>
    <w:rsid w:val="00E031EC"/>
    <w:rsid w:val="00E05388"/>
    <w:rsid w:val="00E105B1"/>
    <w:rsid w:val="00E13275"/>
    <w:rsid w:val="00E14F04"/>
    <w:rsid w:val="00E179DF"/>
    <w:rsid w:val="00E24781"/>
    <w:rsid w:val="00E26C78"/>
    <w:rsid w:val="00E32068"/>
    <w:rsid w:val="00E43CC7"/>
    <w:rsid w:val="00E45EE6"/>
    <w:rsid w:val="00E45F2C"/>
    <w:rsid w:val="00E6151B"/>
    <w:rsid w:val="00E71A38"/>
    <w:rsid w:val="00E82829"/>
    <w:rsid w:val="00E85926"/>
    <w:rsid w:val="00EA240E"/>
    <w:rsid w:val="00EA4E30"/>
    <w:rsid w:val="00EA5BCC"/>
    <w:rsid w:val="00EB0532"/>
    <w:rsid w:val="00EB4A33"/>
    <w:rsid w:val="00EC13A1"/>
    <w:rsid w:val="00EC2F1D"/>
    <w:rsid w:val="00ED2072"/>
    <w:rsid w:val="00EE20C1"/>
    <w:rsid w:val="00EE6186"/>
    <w:rsid w:val="00EF1188"/>
    <w:rsid w:val="00EF24A1"/>
    <w:rsid w:val="00F04244"/>
    <w:rsid w:val="00F0543B"/>
    <w:rsid w:val="00F07129"/>
    <w:rsid w:val="00F07B51"/>
    <w:rsid w:val="00F11F0E"/>
    <w:rsid w:val="00F14A84"/>
    <w:rsid w:val="00F23670"/>
    <w:rsid w:val="00F31238"/>
    <w:rsid w:val="00F340F0"/>
    <w:rsid w:val="00F370FF"/>
    <w:rsid w:val="00F3749E"/>
    <w:rsid w:val="00F37898"/>
    <w:rsid w:val="00F43BC3"/>
    <w:rsid w:val="00F4468D"/>
    <w:rsid w:val="00F45CA5"/>
    <w:rsid w:val="00F66794"/>
    <w:rsid w:val="00F671AA"/>
    <w:rsid w:val="00F75B32"/>
    <w:rsid w:val="00F83F6F"/>
    <w:rsid w:val="00F8456F"/>
    <w:rsid w:val="00F874E6"/>
    <w:rsid w:val="00F904D6"/>
    <w:rsid w:val="00F90E10"/>
    <w:rsid w:val="00F93B82"/>
    <w:rsid w:val="00F97CE7"/>
    <w:rsid w:val="00FA3C80"/>
    <w:rsid w:val="00FB12B4"/>
    <w:rsid w:val="00FB1494"/>
    <w:rsid w:val="00FB19C9"/>
    <w:rsid w:val="00FB2FA1"/>
    <w:rsid w:val="00FC08F6"/>
    <w:rsid w:val="00FD0F68"/>
    <w:rsid w:val="00FD1C00"/>
    <w:rsid w:val="00FE06DA"/>
    <w:rsid w:val="00FE1B65"/>
    <w:rsid w:val="00FE1D8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34"/>
    <w:rPr>
      <w:sz w:val="24"/>
      <w:szCs w:val="24"/>
    </w:rPr>
  </w:style>
  <w:style w:type="paragraph" w:styleId="Heading1">
    <w:name w:val="heading 1"/>
    <w:basedOn w:val="Normal"/>
    <w:next w:val="Normal"/>
    <w:link w:val="Heading1Char"/>
    <w:uiPriority w:val="99"/>
    <w:qFormat/>
    <w:rsid w:val="001A30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05B1"/>
    <w:rPr>
      <w:rFonts w:ascii="Cambria" w:hAnsi="Cambria" w:cs="Times New Roman"/>
      <w:b/>
      <w:bCs/>
      <w:kern w:val="32"/>
      <w:sz w:val="32"/>
      <w:szCs w:val="32"/>
    </w:rPr>
  </w:style>
  <w:style w:type="paragraph" w:customStyle="1" w:styleId="Krajindatum">
    <w:name w:val="Kraj in datum"/>
    <w:uiPriority w:val="99"/>
    <w:rsid w:val="001A3034"/>
    <w:pPr>
      <w:jc w:val="both"/>
    </w:pPr>
    <w:rPr>
      <w:rFonts w:ascii="Arial" w:hAnsi="Arial" w:cs="Arial"/>
    </w:rPr>
  </w:style>
  <w:style w:type="paragraph" w:customStyle="1" w:styleId="Sporocilo">
    <w:name w:val="Sporocilo"/>
    <w:uiPriority w:val="99"/>
    <w:rsid w:val="001A3034"/>
    <w:pPr>
      <w:framePr w:w="9639" w:h="851" w:hRule="exact" w:hSpace="181" w:wrap="notBeside" w:vAnchor="page" w:hAnchor="page" w:x="1135" w:y="2836"/>
      <w:jc w:val="right"/>
    </w:pPr>
    <w:rPr>
      <w:rFonts w:ascii="Arial" w:hAnsi="Arial" w:cs="Arial"/>
      <w:b/>
      <w:bCs/>
      <w:color w:val="F03E40"/>
      <w:sz w:val="28"/>
      <w:szCs w:val="40"/>
      <w:lang w:val="de-DE"/>
    </w:rPr>
  </w:style>
  <w:style w:type="paragraph" w:customStyle="1" w:styleId="Daljsinaslov">
    <w:name w:val="Daljsi naslov"/>
    <w:uiPriority w:val="99"/>
    <w:rsid w:val="001A3034"/>
    <w:rPr>
      <w:rFonts w:ascii="Arial" w:hAnsi="Arial" w:cs="Arial"/>
      <w:b/>
      <w:bCs/>
      <w:color w:val="000000"/>
      <w:sz w:val="32"/>
      <w:lang w:val="de-DE"/>
    </w:rPr>
  </w:style>
  <w:style w:type="paragraph" w:customStyle="1" w:styleId="Tekstsporocila">
    <w:name w:val="Tekst sporocila"/>
    <w:uiPriority w:val="99"/>
    <w:rsid w:val="001A3034"/>
    <w:pPr>
      <w:suppressAutoHyphens/>
    </w:pPr>
    <w:rPr>
      <w:rFonts w:ascii="Arial" w:hAnsi="Arial" w:cs="Arial"/>
      <w:szCs w:val="22"/>
    </w:rPr>
  </w:style>
  <w:style w:type="paragraph" w:customStyle="1" w:styleId="TEKSTkurzivno">
    <w:name w:val="TEKST kurzivno"/>
    <w:basedOn w:val="Normal"/>
    <w:link w:val="TEKSTkurzivnoChar"/>
    <w:uiPriority w:val="99"/>
    <w:rsid w:val="00466D65"/>
    <w:pPr>
      <w:spacing w:line="320" w:lineRule="exact"/>
    </w:pPr>
    <w:rPr>
      <w:rFonts w:ascii="Arial Narrow" w:hAnsi="Arial Narrow"/>
      <w:i/>
      <w:sz w:val="22"/>
      <w:szCs w:val="22"/>
    </w:rPr>
  </w:style>
  <w:style w:type="character" w:customStyle="1" w:styleId="TEKSTkurzivnoChar">
    <w:name w:val="TEKST kurzivno Char"/>
    <w:basedOn w:val="DefaultParagraphFont"/>
    <w:link w:val="TEKSTkurzivno"/>
    <w:uiPriority w:val="99"/>
    <w:locked/>
    <w:rsid w:val="00466D65"/>
    <w:rPr>
      <w:rFonts w:ascii="Arial Narrow" w:hAnsi="Arial Narrow" w:cs="Times New Roman"/>
      <w:i/>
      <w:sz w:val="22"/>
      <w:szCs w:val="22"/>
      <w:lang w:val="sl-SI" w:eastAsia="sl-SI" w:bidi="ar-SA"/>
    </w:rPr>
  </w:style>
  <w:style w:type="paragraph" w:customStyle="1" w:styleId="TEKSTodebeljenokurzivno">
    <w:name w:val="TEKST odebeljeno kurzivno"/>
    <w:basedOn w:val="Normal"/>
    <w:link w:val="TEKSTodebeljenokurzivnoChar"/>
    <w:uiPriority w:val="99"/>
    <w:rsid w:val="00466D65"/>
    <w:pPr>
      <w:spacing w:line="320" w:lineRule="exact"/>
    </w:pPr>
    <w:rPr>
      <w:rFonts w:ascii="Arial Narrow" w:hAnsi="Arial Narrow"/>
      <w:b/>
      <w:i/>
      <w:iCs/>
      <w:sz w:val="22"/>
      <w:szCs w:val="22"/>
    </w:rPr>
  </w:style>
  <w:style w:type="character" w:customStyle="1" w:styleId="TEKSTodebeljenokurzivnoChar">
    <w:name w:val="TEKST odebeljeno kurzivno Char"/>
    <w:basedOn w:val="DefaultParagraphFont"/>
    <w:link w:val="TEKSTodebeljenokurzivno"/>
    <w:uiPriority w:val="99"/>
    <w:locked/>
    <w:rsid w:val="00466D65"/>
    <w:rPr>
      <w:rFonts w:ascii="Arial Narrow" w:hAnsi="Arial Narrow" w:cs="Times New Roman"/>
      <w:b/>
      <w:i/>
      <w:iCs/>
      <w:sz w:val="22"/>
      <w:szCs w:val="22"/>
      <w:lang w:val="sl-SI" w:eastAsia="sl-SI" w:bidi="ar-SA"/>
    </w:rPr>
  </w:style>
  <w:style w:type="character" w:styleId="Hyperlink">
    <w:name w:val="Hyperlink"/>
    <w:basedOn w:val="DefaultParagraphFont"/>
    <w:uiPriority w:val="99"/>
    <w:rsid w:val="00466D65"/>
    <w:rPr>
      <w:rFonts w:cs="Times New Roman"/>
      <w:color w:val="0000FF"/>
      <w:u w:val="single"/>
    </w:rPr>
  </w:style>
  <w:style w:type="paragraph" w:styleId="Header">
    <w:name w:val="header"/>
    <w:basedOn w:val="Normal"/>
    <w:link w:val="HeaderChar"/>
    <w:uiPriority w:val="99"/>
    <w:rsid w:val="00466D65"/>
    <w:pPr>
      <w:tabs>
        <w:tab w:val="center" w:pos="4536"/>
        <w:tab w:val="right" w:pos="9072"/>
      </w:tabs>
    </w:pPr>
  </w:style>
  <w:style w:type="character" w:customStyle="1" w:styleId="HeaderChar">
    <w:name w:val="Header Char"/>
    <w:basedOn w:val="DefaultParagraphFont"/>
    <w:link w:val="Header"/>
    <w:uiPriority w:val="99"/>
    <w:semiHidden/>
    <w:locked/>
    <w:rsid w:val="00E105B1"/>
    <w:rPr>
      <w:rFonts w:cs="Times New Roman"/>
      <w:sz w:val="24"/>
      <w:szCs w:val="24"/>
    </w:rPr>
  </w:style>
  <w:style w:type="paragraph" w:styleId="Footer">
    <w:name w:val="footer"/>
    <w:basedOn w:val="Normal"/>
    <w:link w:val="FooterChar"/>
    <w:uiPriority w:val="99"/>
    <w:rsid w:val="00466D65"/>
    <w:pPr>
      <w:tabs>
        <w:tab w:val="center" w:pos="4536"/>
        <w:tab w:val="right" w:pos="9072"/>
      </w:tabs>
    </w:pPr>
  </w:style>
  <w:style w:type="character" w:customStyle="1" w:styleId="FooterChar">
    <w:name w:val="Footer Char"/>
    <w:basedOn w:val="DefaultParagraphFont"/>
    <w:link w:val="Footer"/>
    <w:uiPriority w:val="99"/>
    <w:semiHidden/>
    <w:locked/>
    <w:rsid w:val="00E105B1"/>
    <w:rPr>
      <w:rFonts w:cs="Times New Roman"/>
      <w:sz w:val="24"/>
      <w:szCs w:val="24"/>
    </w:rPr>
  </w:style>
  <w:style w:type="paragraph" w:styleId="BalloonText">
    <w:name w:val="Balloon Text"/>
    <w:basedOn w:val="Normal"/>
    <w:link w:val="BalloonTextChar"/>
    <w:uiPriority w:val="99"/>
    <w:semiHidden/>
    <w:rsid w:val="00656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5B1"/>
    <w:rPr>
      <w:rFonts w:cs="Times New Roman"/>
      <w:sz w:val="2"/>
    </w:rPr>
  </w:style>
  <w:style w:type="character" w:styleId="CommentReference">
    <w:name w:val="annotation reference"/>
    <w:basedOn w:val="DefaultParagraphFont"/>
    <w:uiPriority w:val="99"/>
    <w:rsid w:val="000923B3"/>
    <w:rPr>
      <w:rFonts w:cs="Times New Roman"/>
      <w:sz w:val="16"/>
      <w:szCs w:val="16"/>
    </w:rPr>
  </w:style>
  <w:style w:type="paragraph" w:styleId="CommentText">
    <w:name w:val="annotation text"/>
    <w:basedOn w:val="Normal"/>
    <w:link w:val="CommentTextChar"/>
    <w:uiPriority w:val="99"/>
    <w:rsid w:val="000923B3"/>
    <w:rPr>
      <w:sz w:val="20"/>
      <w:szCs w:val="20"/>
    </w:rPr>
  </w:style>
  <w:style w:type="character" w:customStyle="1" w:styleId="CommentTextChar">
    <w:name w:val="Comment Text Char"/>
    <w:basedOn w:val="DefaultParagraphFont"/>
    <w:link w:val="CommentText"/>
    <w:uiPriority w:val="99"/>
    <w:locked/>
    <w:rsid w:val="000923B3"/>
    <w:rPr>
      <w:rFonts w:cs="Times New Roman"/>
      <w:lang w:val="sl-SI" w:eastAsia="sl-SI"/>
    </w:rPr>
  </w:style>
  <w:style w:type="paragraph" w:styleId="CommentSubject">
    <w:name w:val="annotation subject"/>
    <w:basedOn w:val="CommentText"/>
    <w:next w:val="CommentText"/>
    <w:link w:val="CommentSubjectChar"/>
    <w:uiPriority w:val="99"/>
    <w:rsid w:val="000923B3"/>
    <w:rPr>
      <w:b/>
      <w:bCs/>
    </w:rPr>
  </w:style>
  <w:style w:type="character" w:customStyle="1" w:styleId="CommentSubjectChar">
    <w:name w:val="Comment Subject Char"/>
    <w:basedOn w:val="CommentTextChar"/>
    <w:link w:val="CommentSubject"/>
    <w:uiPriority w:val="99"/>
    <w:locked/>
    <w:rsid w:val="000923B3"/>
    <w:rPr>
      <w:rFonts w:cs="Times New Roman"/>
      <w:b/>
      <w:bCs/>
      <w:lang w:val="sl-SI" w:eastAsia="sl-SI"/>
    </w:rPr>
  </w:style>
  <w:style w:type="paragraph" w:styleId="FootnoteText">
    <w:name w:val="footnote text"/>
    <w:basedOn w:val="Normal"/>
    <w:link w:val="FootnoteTextChar"/>
    <w:uiPriority w:val="99"/>
    <w:rsid w:val="00E031EC"/>
    <w:rPr>
      <w:sz w:val="20"/>
      <w:szCs w:val="20"/>
    </w:rPr>
  </w:style>
  <w:style w:type="character" w:customStyle="1" w:styleId="FootnoteTextChar">
    <w:name w:val="Footnote Text Char"/>
    <w:basedOn w:val="DefaultParagraphFont"/>
    <w:link w:val="FootnoteText"/>
    <w:uiPriority w:val="99"/>
    <w:locked/>
    <w:rsid w:val="00E031EC"/>
    <w:rPr>
      <w:rFonts w:cs="Times New Roman"/>
    </w:rPr>
  </w:style>
  <w:style w:type="character" w:styleId="FootnoteReference">
    <w:name w:val="footnote reference"/>
    <w:basedOn w:val="DefaultParagraphFont"/>
    <w:uiPriority w:val="99"/>
    <w:rsid w:val="00E031EC"/>
    <w:rPr>
      <w:rFonts w:cs="Times New Roman"/>
      <w:vertAlign w:val="superscript"/>
    </w:rPr>
  </w:style>
  <w:style w:type="character" w:customStyle="1" w:styleId="hps">
    <w:name w:val="hps"/>
    <w:basedOn w:val="DefaultParagraphFont"/>
    <w:uiPriority w:val="99"/>
    <w:rsid w:val="009173C1"/>
    <w:rPr>
      <w:rFonts w:cs="Times New Roman"/>
    </w:rPr>
  </w:style>
  <w:style w:type="paragraph" w:styleId="ListParagraph">
    <w:name w:val="List Paragraph"/>
    <w:basedOn w:val="Normal"/>
    <w:uiPriority w:val="99"/>
    <w:qFormat/>
    <w:rsid w:val="00F04244"/>
    <w:pPr>
      <w:ind w:left="720"/>
    </w:pPr>
    <w:rPr>
      <w:rFonts w:ascii="Calibri" w:hAnsi="Calibri"/>
      <w:sz w:val="22"/>
      <w:szCs w:val="22"/>
    </w:rPr>
  </w:style>
  <w:style w:type="character" w:customStyle="1" w:styleId="apple-style-span">
    <w:name w:val="apple-style-span"/>
    <w:basedOn w:val="DefaultParagraphFont"/>
    <w:uiPriority w:val="99"/>
    <w:rsid w:val="00F04244"/>
    <w:rPr>
      <w:rFonts w:cs="Times New Roman"/>
    </w:rPr>
  </w:style>
  <w:style w:type="character" w:styleId="Strong">
    <w:name w:val="Strong"/>
    <w:basedOn w:val="DefaultParagraphFont"/>
    <w:uiPriority w:val="99"/>
    <w:qFormat/>
    <w:rsid w:val="00A34FB5"/>
    <w:rPr>
      <w:rFonts w:cs="Times New Roman"/>
      <w:b/>
      <w:bCs/>
    </w:rPr>
  </w:style>
  <w:style w:type="paragraph" w:customStyle="1" w:styleId="daljsinaslov0">
    <w:name w:val="daljsinaslov"/>
    <w:basedOn w:val="Normal"/>
    <w:uiPriority w:val="99"/>
    <w:rsid w:val="00A34FB5"/>
    <w:pPr>
      <w:spacing w:before="100" w:beforeAutospacing="1" w:after="100" w:afterAutospacing="1"/>
    </w:pPr>
  </w:style>
  <w:style w:type="paragraph" w:customStyle="1" w:styleId="Default">
    <w:name w:val="Default"/>
    <w:rsid w:val="002271A3"/>
    <w:pPr>
      <w:autoSpaceDE w:val="0"/>
      <w:autoSpaceDN w:val="0"/>
      <w:adjustRightInd w:val="0"/>
    </w:pPr>
    <w:rPr>
      <w:rFonts w:ascii="Calibri" w:eastAsia="Calibri" w:hAnsi="Calibri" w:cs="Calibri"/>
      <w:color w:val="000000"/>
      <w:sz w:val="24"/>
      <w:szCs w:val="24"/>
      <w:lang w:eastAsia="en-US"/>
    </w:rPr>
  </w:style>
  <w:style w:type="paragraph" w:styleId="PlainText">
    <w:name w:val="Plain Text"/>
    <w:basedOn w:val="Normal"/>
    <w:link w:val="PlainTextChar"/>
    <w:uiPriority w:val="99"/>
    <w:unhideWhenUsed/>
    <w:rsid w:val="002A5C02"/>
    <w:rPr>
      <w:rFonts w:ascii="Arial" w:eastAsia="Calibri" w:hAnsi="Arial"/>
      <w:sz w:val="20"/>
      <w:szCs w:val="21"/>
      <w:lang w:eastAsia="en-US"/>
    </w:rPr>
  </w:style>
  <w:style w:type="character" w:customStyle="1" w:styleId="PlainTextChar">
    <w:name w:val="Plain Text Char"/>
    <w:basedOn w:val="DefaultParagraphFont"/>
    <w:link w:val="PlainText"/>
    <w:uiPriority w:val="99"/>
    <w:rsid w:val="002A5C02"/>
    <w:rPr>
      <w:rFonts w:ascii="Arial" w:eastAsia="Calibri" w:hAnsi="Arial" w:cs="Times New Roman"/>
      <w:szCs w:val="21"/>
      <w:lang w:eastAsia="en-US"/>
    </w:rPr>
  </w:style>
  <w:style w:type="character" w:customStyle="1" w:styleId="A5">
    <w:name w:val="A5"/>
    <w:uiPriority w:val="99"/>
    <w:rsid w:val="00F37898"/>
    <w:rPr>
      <w:rFonts w:cs="HelveticaNeueLT Pro 45 Lt"/>
      <w:color w:val="000000"/>
      <w:sz w:val="20"/>
      <w:szCs w:val="20"/>
    </w:rPr>
  </w:style>
  <w:style w:type="character" w:customStyle="1" w:styleId="shorttext">
    <w:name w:val="short_text"/>
    <w:basedOn w:val="DefaultParagraphFont"/>
    <w:rsid w:val="00F37898"/>
  </w:style>
</w:styles>
</file>

<file path=word/webSettings.xml><?xml version="1.0" encoding="utf-8"?>
<w:webSettings xmlns:r="http://schemas.openxmlformats.org/officeDocument/2006/relationships" xmlns:w="http://schemas.openxmlformats.org/wordprocessingml/2006/main">
  <w:divs>
    <w:div w:id="65306315">
      <w:bodyDiv w:val="1"/>
      <w:marLeft w:val="0"/>
      <w:marRight w:val="0"/>
      <w:marTop w:val="0"/>
      <w:marBottom w:val="0"/>
      <w:divBdr>
        <w:top w:val="none" w:sz="0" w:space="0" w:color="auto"/>
        <w:left w:val="none" w:sz="0" w:space="0" w:color="auto"/>
        <w:bottom w:val="none" w:sz="0" w:space="0" w:color="auto"/>
        <w:right w:val="none" w:sz="0" w:space="0" w:color="auto"/>
      </w:divBdr>
    </w:div>
    <w:div w:id="216088502">
      <w:bodyDiv w:val="1"/>
      <w:marLeft w:val="0"/>
      <w:marRight w:val="0"/>
      <w:marTop w:val="0"/>
      <w:marBottom w:val="0"/>
      <w:divBdr>
        <w:top w:val="none" w:sz="0" w:space="0" w:color="auto"/>
        <w:left w:val="none" w:sz="0" w:space="0" w:color="auto"/>
        <w:bottom w:val="none" w:sz="0" w:space="0" w:color="auto"/>
        <w:right w:val="none" w:sz="0" w:space="0" w:color="auto"/>
      </w:divBdr>
    </w:div>
    <w:div w:id="507450067">
      <w:bodyDiv w:val="1"/>
      <w:marLeft w:val="0"/>
      <w:marRight w:val="0"/>
      <w:marTop w:val="0"/>
      <w:marBottom w:val="0"/>
      <w:divBdr>
        <w:top w:val="none" w:sz="0" w:space="0" w:color="auto"/>
        <w:left w:val="none" w:sz="0" w:space="0" w:color="auto"/>
        <w:bottom w:val="none" w:sz="0" w:space="0" w:color="auto"/>
        <w:right w:val="none" w:sz="0" w:space="0" w:color="auto"/>
      </w:divBdr>
    </w:div>
    <w:div w:id="547839149">
      <w:bodyDiv w:val="1"/>
      <w:marLeft w:val="0"/>
      <w:marRight w:val="0"/>
      <w:marTop w:val="0"/>
      <w:marBottom w:val="0"/>
      <w:divBdr>
        <w:top w:val="none" w:sz="0" w:space="0" w:color="auto"/>
        <w:left w:val="none" w:sz="0" w:space="0" w:color="auto"/>
        <w:bottom w:val="none" w:sz="0" w:space="0" w:color="auto"/>
        <w:right w:val="none" w:sz="0" w:space="0" w:color="auto"/>
      </w:divBdr>
    </w:div>
    <w:div w:id="663818175">
      <w:bodyDiv w:val="1"/>
      <w:marLeft w:val="0"/>
      <w:marRight w:val="0"/>
      <w:marTop w:val="0"/>
      <w:marBottom w:val="0"/>
      <w:divBdr>
        <w:top w:val="none" w:sz="0" w:space="0" w:color="auto"/>
        <w:left w:val="none" w:sz="0" w:space="0" w:color="auto"/>
        <w:bottom w:val="none" w:sz="0" w:space="0" w:color="auto"/>
        <w:right w:val="none" w:sz="0" w:space="0" w:color="auto"/>
      </w:divBdr>
      <w:divsChild>
        <w:div w:id="1449278649">
          <w:marLeft w:val="0"/>
          <w:marRight w:val="0"/>
          <w:marTop w:val="0"/>
          <w:marBottom w:val="0"/>
          <w:divBdr>
            <w:top w:val="none" w:sz="0" w:space="0" w:color="auto"/>
            <w:left w:val="none" w:sz="0" w:space="0" w:color="auto"/>
            <w:bottom w:val="none" w:sz="0" w:space="0" w:color="auto"/>
            <w:right w:val="none" w:sz="0" w:space="0" w:color="auto"/>
          </w:divBdr>
          <w:divsChild>
            <w:div w:id="1710033409">
              <w:marLeft w:val="0"/>
              <w:marRight w:val="0"/>
              <w:marTop w:val="0"/>
              <w:marBottom w:val="0"/>
              <w:divBdr>
                <w:top w:val="none" w:sz="0" w:space="0" w:color="auto"/>
                <w:left w:val="none" w:sz="0" w:space="0" w:color="auto"/>
                <w:bottom w:val="none" w:sz="0" w:space="0" w:color="auto"/>
                <w:right w:val="none" w:sz="0" w:space="0" w:color="auto"/>
              </w:divBdr>
              <w:divsChild>
                <w:div w:id="1402681561">
                  <w:marLeft w:val="0"/>
                  <w:marRight w:val="0"/>
                  <w:marTop w:val="0"/>
                  <w:marBottom w:val="0"/>
                  <w:divBdr>
                    <w:top w:val="none" w:sz="0" w:space="0" w:color="auto"/>
                    <w:left w:val="none" w:sz="0" w:space="0" w:color="auto"/>
                    <w:bottom w:val="none" w:sz="0" w:space="0" w:color="auto"/>
                    <w:right w:val="none" w:sz="0" w:space="0" w:color="auto"/>
                  </w:divBdr>
                  <w:divsChild>
                    <w:div w:id="1182351453">
                      <w:marLeft w:val="0"/>
                      <w:marRight w:val="0"/>
                      <w:marTop w:val="0"/>
                      <w:marBottom w:val="0"/>
                      <w:divBdr>
                        <w:top w:val="none" w:sz="0" w:space="0" w:color="auto"/>
                        <w:left w:val="none" w:sz="0" w:space="0" w:color="auto"/>
                        <w:bottom w:val="none" w:sz="0" w:space="0" w:color="auto"/>
                        <w:right w:val="none" w:sz="0" w:space="0" w:color="auto"/>
                      </w:divBdr>
                      <w:divsChild>
                        <w:div w:id="1288853498">
                          <w:marLeft w:val="0"/>
                          <w:marRight w:val="0"/>
                          <w:marTop w:val="0"/>
                          <w:marBottom w:val="0"/>
                          <w:divBdr>
                            <w:top w:val="none" w:sz="0" w:space="0" w:color="auto"/>
                            <w:left w:val="none" w:sz="0" w:space="0" w:color="auto"/>
                            <w:bottom w:val="none" w:sz="0" w:space="0" w:color="auto"/>
                            <w:right w:val="none" w:sz="0" w:space="0" w:color="auto"/>
                          </w:divBdr>
                          <w:divsChild>
                            <w:div w:id="2011181135">
                              <w:marLeft w:val="0"/>
                              <w:marRight w:val="0"/>
                              <w:marTop w:val="0"/>
                              <w:marBottom w:val="0"/>
                              <w:divBdr>
                                <w:top w:val="none" w:sz="0" w:space="0" w:color="auto"/>
                                <w:left w:val="none" w:sz="0" w:space="0" w:color="auto"/>
                                <w:bottom w:val="none" w:sz="0" w:space="0" w:color="auto"/>
                                <w:right w:val="none" w:sz="0" w:space="0" w:color="auto"/>
                              </w:divBdr>
                              <w:divsChild>
                                <w:div w:id="204409723">
                                  <w:marLeft w:val="0"/>
                                  <w:marRight w:val="0"/>
                                  <w:marTop w:val="0"/>
                                  <w:marBottom w:val="0"/>
                                  <w:divBdr>
                                    <w:top w:val="none" w:sz="0" w:space="0" w:color="auto"/>
                                    <w:left w:val="none" w:sz="0" w:space="0" w:color="auto"/>
                                    <w:bottom w:val="none" w:sz="0" w:space="0" w:color="auto"/>
                                    <w:right w:val="none" w:sz="0" w:space="0" w:color="auto"/>
                                  </w:divBdr>
                                  <w:divsChild>
                                    <w:div w:id="1290623439">
                                      <w:marLeft w:val="0"/>
                                      <w:marRight w:val="46"/>
                                      <w:marTop w:val="0"/>
                                      <w:marBottom w:val="0"/>
                                      <w:divBdr>
                                        <w:top w:val="none" w:sz="0" w:space="0" w:color="auto"/>
                                        <w:left w:val="none" w:sz="0" w:space="0" w:color="auto"/>
                                        <w:bottom w:val="none" w:sz="0" w:space="0" w:color="auto"/>
                                        <w:right w:val="none" w:sz="0" w:space="0" w:color="auto"/>
                                      </w:divBdr>
                                      <w:divsChild>
                                        <w:div w:id="207691353">
                                          <w:marLeft w:val="0"/>
                                          <w:marRight w:val="0"/>
                                          <w:marTop w:val="0"/>
                                          <w:marBottom w:val="0"/>
                                          <w:divBdr>
                                            <w:top w:val="none" w:sz="0" w:space="0" w:color="auto"/>
                                            <w:left w:val="none" w:sz="0" w:space="0" w:color="auto"/>
                                            <w:bottom w:val="none" w:sz="0" w:space="0" w:color="auto"/>
                                            <w:right w:val="none" w:sz="0" w:space="0" w:color="auto"/>
                                          </w:divBdr>
                                        </w:div>
                                        <w:div w:id="944846648">
                                          <w:marLeft w:val="0"/>
                                          <w:marRight w:val="0"/>
                                          <w:marTop w:val="0"/>
                                          <w:marBottom w:val="0"/>
                                          <w:divBdr>
                                            <w:top w:val="none" w:sz="0" w:space="0" w:color="auto"/>
                                            <w:left w:val="none" w:sz="0" w:space="0" w:color="auto"/>
                                            <w:bottom w:val="none" w:sz="0" w:space="0" w:color="auto"/>
                                            <w:right w:val="none" w:sz="0" w:space="0" w:color="auto"/>
                                          </w:divBdr>
                                        </w:div>
                                        <w:div w:id="1133600158">
                                          <w:marLeft w:val="0"/>
                                          <w:marRight w:val="0"/>
                                          <w:marTop w:val="0"/>
                                          <w:marBottom w:val="0"/>
                                          <w:divBdr>
                                            <w:top w:val="single" w:sz="4" w:space="12" w:color="999999"/>
                                            <w:left w:val="single" w:sz="4" w:space="12" w:color="999999"/>
                                            <w:bottom w:val="single" w:sz="4" w:space="12" w:color="999999"/>
                                            <w:right w:val="single" w:sz="4" w:space="12" w:color="999999"/>
                                          </w:divBdr>
                                          <w:divsChild>
                                            <w:div w:id="2050259274">
                                              <w:marLeft w:val="0"/>
                                              <w:marRight w:val="0"/>
                                              <w:marTop w:val="0"/>
                                              <w:marBottom w:val="0"/>
                                              <w:divBdr>
                                                <w:top w:val="none" w:sz="0" w:space="0" w:color="auto"/>
                                                <w:left w:val="none" w:sz="0" w:space="0" w:color="auto"/>
                                                <w:bottom w:val="none" w:sz="0" w:space="0" w:color="auto"/>
                                                <w:right w:val="none" w:sz="0" w:space="0" w:color="auto"/>
                                              </w:divBdr>
                                            </w:div>
                                          </w:divsChild>
                                        </w:div>
                                        <w:div w:id="18849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711">
                                  <w:marLeft w:val="0"/>
                                  <w:marRight w:val="0"/>
                                  <w:marTop w:val="0"/>
                                  <w:marBottom w:val="0"/>
                                  <w:divBdr>
                                    <w:top w:val="none" w:sz="0" w:space="0" w:color="auto"/>
                                    <w:left w:val="none" w:sz="0" w:space="0" w:color="auto"/>
                                    <w:bottom w:val="none" w:sz="0" w:space="0" w:color="auto"/>
                                    <w:right w:val="none" w:sz="0" w:space="0" w:color="auto"/>
                                  </w:divBdr>
                                  <w:divsChild>
                                    <w:div w:id="1785806986">
                                      <w:marLeft w:val="46"/>
                                      <w:marRight w:val="0"/>
                                      <w:marTop w:val="0"/>
                                      <w:marBottom w:val="0"/>
                                      <w:divBdr>
                                        <w:top w:val="none" w:sz="0" w:space="0" w:color="auto"/>
                                        <w:left w:val="none" w:sz="0" w:space="0" w:color="auto"/>
                                        <w:bottom w:val="none" w:sz="0" w:space="0" w:color="auto"/>
                                        <w:right w:val="none" w:sz="0" w:space="0" w:color="auto"/>
                                      </w:divBdr>
                                      <w:divsChild>
                                        <w:div w:id="775179696">
                                          <w:marLeft w:val="0"/>
                                          <w:marRight w:val="0"/>
                                          <w:marTop w:val="0"/>
                                          <w:marBottom w:val="0"/>
                                          <w:divBdr>
                                            <w:top w:val="none" w:sz="0" w:space="0" w:color="auto"/>
                                            <w:left w:val="none" w:sz="0" w:space="0" w:color="auto"/>
                                            <w:bottom w:val="none" w:sz="0" w:space="0" w:color="auto"/>
                                            <w:right w:val="none" w:sz="0" w:space="0" w:color="auto"/>
                                          </w:divBdr>
                                          <w:divsChild>
                                            <w:div w:id="1019891849">
                                              <w:marLeft w:val="0"/>
                                              <w:marRight w:val="0"/>
                                              <w:marTop w:val="0"/>
                                              <w:marBottom w:val="92"/>
                                              <w:divBdr>
                                                <w:top w:val="single" w:sz="4" w:space="0" w:color="F5F5F5"/>
                                                <w:left w:val="single" w:sz="4" w:space="0" w:color="F5F5F5"/>
                                                <w:bottom w:val="single" w:sz="4" w:space="0" w:color="F5F5F5"/>
                                                <w:right w:val="single" w:sz="4" w:space="0" w:color="F5F5F5"/>
                                              </w:divBdr>
                                              <w:divsChild>
                                                <w:div w:id="2023239017">
                                                  <w:marLeft w:val="0"/>
                                                  <w:marRight w:val="0"/>
                                                  <w:marTop w:val="0"/>
                                                  <w:marBottom w:val="0"/>
                                                  <w:divBdr>
                                                    <w:top w:val="none" w:sz="0" w:space="0" w:color="auto"/>
                                                    <w:left w:val="none" w:sz="0" w:space="0" w:color="auto"/>
                                                    <w:bottom w:val="none" w:sz="0" w:space="0" w:color="auto"/>
                                                    <w:right w:val="none" w:sz="0" w:space="0" w:color="auto"/>
                                                  </w:divBdr>
                                                  <w:divsChild>
                                                    <w:div w:id="1971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938106">
      <w:bodyDiv w:val="1"/>
      <w:marLeft w:val="0"/>
      <w:marRight w:val="0"/>
      <w:marTop w:val="0"/>
      <w:marBottom w:val="0"/>
      <w:divBdr>
        <w:top w:val="none" w:sz="0" w:space="0" w:color="auto"/>
        <w:left w:val="none" w:sz="0" w:space="0" w:color="auto"/>
        <w:bottom w:val="none" w:sz="0" w:space="0" w:color="auto"/>
        <w:right w:val="none" w:sz="0" w:space="0" w:color="auto"/>
      </w:divBdr>
    </w:div>
    <w:div w:id="888690711">
      <w:marLeft w:val="0"/>
      <w:marRight w:val="0"/>
      <w:marTop w:val="0"/>
      <w:marBottom w:val="0"/>
      <w:divBdr>
        <w:top w:val="none" w:sz="0" w:space="0" w:color="auto"/>
        <w:left w:val="none" w:sz="0" w:space="0" w:color="auto"/>
        <w:bottom w:val="none" w:sz="0" w:space="0" w:color="auto"/>
        <w:right w:val="none" w:sz="0" w:space="0" w:color="auto"/>
      </w:divBdr>
    </w:div>
    <w:div w:id="888690712">
      <w:marLeft w:val="0"/>
      <w:marRight w:val="0"/>
      <w:marTop w:val="0"/>
      <w:marBottom w:val="0"/>
      <w:divBdr>
        <w:top w:val="none" w:sz="0" w:space="0" w:color="auto"/>
        <w:left w:val="none" w:sz="0" w:space="0" w:color="auto"/>
        <w:bottom w:val="none" w:sz="0" w:space="0" w:color="auto"/>
        <w:right w:val="none" w:sz="0" w:space="0" w:color="auto"/>
      </w:divBdr>
    </w:div>
    <w:div w:id="888690713">
      <w:marLeft w:val="0"/>
      <w:marRight w:val="0"/>
      <w:marTop w:val="0"/>
      <w:marBottom w:val="0"/>
      <w:divBdr>
        <w:top w:val="none" w:sz="0" w:space="0" w:color="auto"/>
        <w:left w:val="none" w:sz="0" w:space="0" w:color="auto"/>
        <w:bottom w:val="none" w:sz="0" w:space="0" w:color="auto"/>
        <w:right w:val="none" w:sz="0" w:space="0" w:color="auto"/>
      </w:divBdr>
    </w:div>
    <w:div w:id="1023625908">
      <w:bodyDiv w:val="1"/>
      <w:marLeft w:val="0"/>
      <w:marRight w:val="0"/>
      <w:marTop w:val="0"/>
      <w:marBottom w:val="0"/>
      <w:divBdr>
        <w:top w:val="none" w:sz="0" w:space="0" w:color="auto"/>
        <w:left w:val="none" w:sz="0" w:space="0" w:color="auto"/>
        <w:bottom w:val="none" w:sz="0" w:space="0" w:color="auto"/>
        <w:right w:val="none" w:sz="0" w:space="0" w:color="auto"/>
      </w:divBdr>
    </w:div>
    <w:div w:id="1380013537">
      <w:bodyDiv w:val="1"/>
      <w:marLeft w:val="0"/>
      <w:marRight w:val="0"/>
      <w:marTop w:val="0"/>
      <w:marBottom w:val="0"/>
      <w:divBdr>
        <w:top w:val="none" w:sz="0" w:space="0" w:color="auto"/>
        <w:left w:val="none" w:sz="0" w:space="0" w:color="auto"/>
        <w:bottom w:val="none" w:sz="0" w:space="0" w:color="auto"/>
        <w:right w:val="none" w:sz="0" w:space="0" w:color="auto"/>
      </w:divBdr>
      <w:divsChild>
        <w:div w:id="342976037">
          <w:marLeft w:val="0"/>
          <w:marRight w:val="0"/>
          <w:marTop w:val="0"/>
          <w:marBottom w:val="0"/>
          <w:divBdr>
            <w:top w:val="none" w:sz="0" w:space="0" w:color="auto"/>
            <w:left w:val="none" w:sz="0" w:space="0" w:color="auto"/>
            <w:bottom w:val="none" w:sz="0" w:space="0" w:color="auto"/>
            <w:right w:val="none" w:sz="0" w:space="0" w:color="auto"/>
          </w:divBdr>
          <w:divsChild>
            <w:div w:id="287974520">
              <w:marLeft w:val="0"/>
              <w:marRight w:val="0"/>
              <w:marTop w:val="0"/>
              <w:marBottom w:val="0"/>
              <w:divBdr>
                <w:top w:val="none" w:sz="0" w:space="0" w:color="auto"/>
                <w:left w:val="none" w:sz="0" w:space="0" w:color="auto"/>
                <w:bottom w:val="none" w:sz="0" w:space="0" w:color="auto"/>
                <w:right w:val="none" w:sz="0" w:space="0" w:color="auto"/>
              </w:divBdr>
              <w:divsChild>
                <w:div w:id="512107990">
                  <w:marLeft w:val="0"/>
                  <w:marRight w:val="0"/>
                  <w:marTop w:val="0"/>
                  <w:marBottom w:val="0"/>
                  <w:divBdr>
                    <w:top w:val="none" w:sz="0" w:space="0" w:color="auto"/>
                    <w:left w:val="none" w:sz="0" w:space="0" w:color="auto"/>
                    <w:bottom w:val="none" w:sz="0" w:space="0" w:color="auto"/>
                    <w:right w:val="none" w:sz="0" w:space="0" w:color="auto"/>
                  </w:divBdr>
                  <w:divsChild>
                    <w:div w:id="1340080492">
                      <w:marLeft w:val="0"/>
                      <w:marRight w:val="0"/>
                      <w:marTop w:val="0"/>
                      <w:marBottom w:val="0"/>
                      <w:divBdr>
                        <w:top w:val="none" w:sz="0" w:space="0" w:color="auto"/>
                        <w:left w:val="none" w:sz="0" w:space="0" w:color="auto"/>
                        <w:bottom w:val="none" w:sz="0" w:space="0" w:color="auto"/>
                        <w:right w:val="none" w:sz="0" w:space="0" w:color="auto"/>
                      </w:divBdr>
                      <w:divsChild>
                        <w:div w:id="1554190953">
                          <w:marLeft w:val="0"/>
                          <w:marRight w:val="0"/>
                          <w:marTop w:val="0"/>
                          <w:marBottom w:val="0"/>
                          <w:divBdr>
                            <w:top w:val="none" w:sz="0" w:space="0" w:color="auto"/>
                            <w:left w:val="none" w:sz="0" w:space="0" w:color="auto"/>
                            <w:bottom w:val="none" w:sz="0" w:space="0" w:color="auto"/>
                            <w:right w:val="none" w:sz="0" w:space="0" w:color="auto"/>
                          </w:divBdr>
                          <w:divsChild>
                            <w:div w:id="991906600">
                              <w:marLeft w:val="0"/>
                              <w:marRight w:val="0"/>
                              <w:marTop w:val="0"/>
                              <w:marBottom w:val="0"/>
                              <w:divBdr>
                                <w:top w:val="none" w:sz="0" w:space="0" w:color="auto"/>
                                <w:left w:val="none" w:sz="0" w:space="0" w:color="auto"/>
                                <w:bottom w:val="none" w:sz="0" w:space="0" w:color="auto"/>
                                <w:right w:val="none" w:sz="0" w:space="0" w:color="auto"/>
                              </w:divBdr>
                              <w:divsChild>
                                <w:div w:id="665550201">
                                  <w:marLeft w:val="0"/>
                                  <w:marRight w:val="0"/>
                                  <w:marTop w:val="0"/>
                                  <w:marBottom w:val="0"/>
                                  <w:divBdr>
                                    <w:top w:val="none" w:sz="0" w:space="0" w:color="auto"/>
                                    <w:left w:val="none" w:sz="0" w:space="0" w:color="auto"/>
                                    <w:bottom w:val="none" w:sz="0" w:space="0" w:color="auto"/>
                                    <w:right w:val="none" w:sz="0" w:space="0" w:color="auto"/>
                                  </w:divBdr>
                                  <w:divsChild>
                                    <w:div w:id="783503527">
                                      <w:marLeft w:val="46"/>
                                      <w:marRight w:val="0"/>
                                      <w:marTop w:val="0"/>
                                      <w:marBottom w:val="0"/>
                                      <w:divBdr>
                                        <w:top w:val="none" w:sz="0" w:space="0" w:color="auto"/>
                                        <w:left w:val="none" w:sz="0" w:space="0" w:color="auto"/>
                                        <w:bottom w:val="none" w:sz="0" w:space="0" w:color="auto"/>
                                        <w:right w:val="none" w:sz="0" w:space="0" w:color="auto"/>
                                      </w:divBdr>
                                      <w:divsChild>
                                        <w:div w:id="774977531">
                                          <w:marLeft w:val="0"/>
                                          <w:marRight w:val="0"/>
                                          <w:marTop w:val="0"/>
                                          <w:marBottom w:val="0"/>
                                          <w:divBdr>
                                            <w:top w:val="none" w:sz="0" w:space="0" w:color="auto"/>
                                            <w:left w:val="none" w:sz="0" w:space="0" w:color="auto"/>
                                            <w:bottom w:val="none" w:sz="0" w:space="0" w:color="auto"/>
                                            <w:right w:val="none" w:sz="0" w:space="0" w:color="auto"/>
                                          </w:divBdr>
                                          <w:divsChild>
                                            <w:div w:id="2089497748">
                                              <w:marLeft w:val="0"/>
                                              <w:marRight w:val="0"/>
                                              <w:marTop w:val="0"/>
                                              <w:marBottom w:val="92"/>
                                              <w:divBdr>
                                                <w:top w:val="single" w:sz="4" w:space="0" w:color="F5F5F5"/>
                                                <w:left w:val="single" w:sz="4" w:space="0" w:color="F5F5F5"/>
                                                <w:bottom w:val="single" w:sz="4" w:space="0" w:color="F5F5F5"/>
                                                <w:right w:val="single" w:sz="4" w:space="0" w:color="F5F5F5"/>
                                              </w:divBdr>
                                              <w:divsChild>
                                                <w:div w:id="678047447">
                                                  <w:marLeft w:val="0"/>
                                                  <w:marRight w:val="0"/>
                                                  <w:marTop w:val="0"/>
                                                  <w:marBottom w:val="0"/>
                                                  <w:divBdr>
                                                    <w:top w:val="none" w:sz="0" w:space="0" w:color="auto"/>
                                                    <w:left w:val="none" w:sz="0" w:space="0" w:color="auto"/>
                                                    <w:bottom w:val="none" w:sz="0" w:space="0" w:color="auto"/>
                                                    <w:right w:val="none" w:sz="0" w:space="0" w:color="auto"/>
                                                  </w:divBdr>
                                                  <w:divsChild>
                                                    <w:div w:id="14594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66776">
                                  <w:marLeft w:val="0"/>
                                  <w:marRight w:val="0"/>
                                  <w:marTop w:val="0"/>
                                  <w:marBottom w:val="0"/>
                                  <w:divBdr>
                                    <w:top w:val="none" w:sz="0" w:space="0" w:color="auto"/>
                                    <w:left w:val="none" w:sz="0" w:space="0" w:color="auto"/>
                                    <w:bottom w:val="none" w:sz="0" w:space="0" w:color="auto"/>
                                    <w:right w:val="none" w:sz="0" w:space="0" w:color="auto"/>
                                  </w:divBdr>
                                  <w:divsChild>
                                    <w:div w:id="593511331">
                                      <w:marLeft w:val="0"/>
                                      <w:marRight w:val="46"/>
                                      <w:marTop w:val="0"/>
                                      <w:marBottom w:val="0"/>
                                      <w:divBdr>
                                        <w:top w:val="none" w:sz="0" w:space="0" w:color="auto"/>
                                        <w:left w:val="none" w:sz="0" w:space="0" w:color="auto"/>
                                        <w:bottom w:val="none" w:sz="0" w:space="0" w:color="auto"/>
                                        <w:right w:val="none" w:sz="0" w:space="0" w:color="auto"/>
                                      </w:divBdr>
                                      <w:divsChild>
                                        <w:div w:id="1356692220">
                                          <w:marLeft w:val="0"/>
                                          <w:marRight w:val="0"/>
                                          <w:marTop w:val="0"/>
                                          <w:marBottom w:val="0"/>
                                          <w:divBdr>
                                            <w:top w:val="none" w:sz="0" w:space="0" w:color="auto"/>
                                            <w:left w:val="none" w:sz="0" w:space="0" w:color="auto"/>
                                            <w:bottom w:val="none" w:sz="0" w:space="0" w:color="auto"/>
                                            <w:right w:val="none" w:sz="0" w:space="0" w:color="auto"/>
                                          </w:divBdr>
                                        </w:div>
                                        <w:div w:id="1658419871">
                                          <w:marLeft w:val="0"/>
                                          <w:marRight w:val="0"/>
                                          <w:marTop w:val="0"/>
                                          <w:marBottom w:val="0"/>
                                          <w:divBdr>
                                            <w:top w:val="none" w:sz="0" w:space="0" w:color="auto"/>
                                            <w:left w:val="none" w:sz="0" w:space="0" w:color="auto"/>
                                            <w:bottom w:val="none" w:sz="0" w:space="0" w:color="auto"/>
                                            <w:right w:val="none" w:sz="0" w:space="0" w:color="auto"/>
                                          </w:divBdr>
                                        </w:div>
                                        <w:div w:id="1713923212">
                                          <w:marLeft w:val="0"/>
                                          <w:marRight w:val="0"/>
                                          <w:marTop w:val="0"/>
                                          <w:marBottom w:val="0"/>
                                          <w:divBdr>
                                            <w:top w:val="single" w:sz="4" w:space="12" w:color="999999"/>
                                            <w:left w:val="single" w:sz="4" w:space="12" w:color="999999"/>
                                            <w:bottom w:val="single" w:sz="4" w:space="12" w:color="999999"/>
                                            <w:right w:val="single" w:sz="4" w:space="12" w:color="999999"/>
                                          </w:divBdr>
                                          <w:divsChild>
                                            <w:div w:id="846023371">
                                              <w:marLeft w:val="0"/>
                                              <w:marRight w:val="0"/>
                                              <w:marTop w:val="0"/>
                                              <w:marBottom w:val="0"/>
                                              <w:divBdr>
                                                <w:top w:val="none" w:sz="0" w:space="0" w:color="auto"/>
                                                <w:left w:val="none" w:sz="0" w:space="0" w:color="auto"/>
                                                <w:bottom w:val="none" w:sz="0" w:space="0" w:color="auto"/>
                                                <w:right w:val="none" w:sz="0" w:space="0" w:color="auto"/>
                                              </w:divBdr>
                                            </w:div>
                                          </w:divsChild>
                                        </w:div>
                                        <w:div w:id="17883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894349">
      <w:bodyDiv w:val="1"/>
      <w:marLeft w:val="0"/>
      <w:marRight w:val="0"/>
      <w:marTop w:val="0"/>
      <w:marBottom w:val="0"/>
      <w:divBdr>
        <w:top w:val="none" w:sz="0" w:space="0" w:color="auto"/>
        <w:left w:val="none" w:sz="0" w:space="0" w:color="auto"/>
        <w:bottom w:val="none" w:sz="0" w:space="0" w:color="auto"/>
        <w:right w:val="none" w:sz="0" w:space="0" w:color="auto"/>
      </w:divBdr>
    </w:div>
    <w:div w:id="19196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ka.novak-katona@skb.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A47E-1FF2-431B-A544-C12616A3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SKB banka d</vt:lpstr>
    </vt:vector>
  </TitlesOfParts>
  <Company/>
  <LinksUpToDate>false</LinksUpToDate>
  <CharactersWithSpaces>3494</CharactersWithSpaces>
  <SharedDoc>false</SharedDoc>
  <HLinks>
    <vt:vector size="6" baseType="variant">
      <vt:variant>
        <vt:i4>7012420</vt:i4>
      </vt:variant>
      <vt:variant>
        <vt:i4>0</vt:i4>
      </vt:variant>
      <vt:variant>
        <vt:i4>0</vt:i4>
      </vt:variant>
      <vt:variant>
        <vt:i4>5</vt:i4>
      </vt:variant>
      <vt:variant>
        <vt:lpwstr>mailto:jelka.novak-katona@skb.si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SKB banka d</dc:title>
  <dc:creator>dejan</dc:creator>
  <cp:lastModifiedBy>JelkaNovakKatona</cp:lastModifiedBy>
  <cp:revision>2</cp:revision>
  <cp:lastPrinted>2018-01-29T09:04:00Z</cp:lastPrinted>
  <dcterms:created xsi:type="dcterms:W3CDTF">2018-01-29T13:01:00Z</dcterms:created>
  <dcterms:modified xsi:type="dcterms:W3CDTF">2018-01-29T13:01:00Z</dcterms:modified>
</cp:coreProperties>
</file>