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xlsm" ContentType="application/vnd.ms-excel.sheet.macroEnabled.12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EB" w:rsidRDefault="00F861EB" w:rsidP="00F861EB">
      <w:pPr>
        <w:jc w:val="center"/>
        <w:rPr>
          <w:b/>
          <w:sz w:val="24"/>
          <w:szCs w:val="24"/>
        </w:rPr>
      </w:pPr>
    </w:p>
    <w:p w:rsidR="00F861EB" w:rsidRDefault="00F861EB" w:rsidP="00F861EB">
      <w:pPr>
        <w:jc w:val="center"/>
        <w:rPr>
          <w:b/>
          <w:sz w:val="24"/>
          <w:szCs w:val="24"/>
        </w:rPr>
      </w:pPr>
    </w:p>
    <w:p w:rsidR="00F861EB" w:rsidRDefault="00F861EB" w:rsidP="00F861EB">
      <w:pPr>
        <w:jc w:val="center"/>
        <w:rPr>
          <w:b/>
          <w:sz w:val="24"/>
          <w:szCs w:val="24"/>
        </w:rPr>
      </w:pPr>
    </w:p>
    <w:p w:rsidR="00F861EB" w:rsidRDefault="00C34E0C" w:rsidP="00F861E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zh-CN"/>
        </w:rPr>
        <w:drawing>
          <wp:inline distT="0" distB="0" distL="0" distR="0">
            <wp:extent cx="2190750" cy="790575"/>
            <wp:effectExtent l="19050" t="0" r="0" b="0"/>
            <wp:docPr id="1" name="Picture 1" descr="Logo LK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K 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EB" w:rsidRDefault="00F861EB" w:rsidP="004C4760">
      <w:pPr>
        <w:rPr>
          <w:b/>
          <w:sz w:val="24"/>
          <w:szCs w:val="24"/>
        </w:rPr>
      </w:pPr>
    </w:p>
    <w:p w:rsidR="00F861EB" w:rsidRDefault="00F861EB" w:rsidP="004C4760">
      <w:pPr>
        <w:rPr>
          <w:b/>
          <w:sz w:val="24"/>
          <w:szCs w:val="24"/>
        </w:rPr>
      </w:pPr>
    </w:p>
    <w:p w:rsidR="00F861EB" w:rsidRDefault="00F861EB" w:rsidP="004C4760">
      <w:pPr>
        <w:rPr>
          <w:b/>
          <w:sz w:val="24"/>
          <w:szCs w:val="24"/>
        </w:rPr>
      </w:pPr>
    </w:p>
    <w:p w:rsidR="00F861EB" w:rsidRDefault="00F861EB" w:rsidP="004C4760">
      <w:pPr>
        <w:rPr>
          <w:b/>
          <w:sz w:val="24"/>
          <w:szCs w:val="24"/>
        </w:rPr>
      </w:pPr>
    </w:p>
    <w:p w:rsidR="00F861EB" w:rsidRDefault="00F861EB" w:rsidP="004C4760">
      <w:pPr>
        <w:rPr>
          <w:b/>
          <w:sz w:val="24"/>
          <w:szCs w:val="24"/>
        </w:rPr>
      </w:pPr>
    </w:p>
    <w:p w:rsidR="00F861EB" w:rsidRDefault="00F861EB" w:rsidP="004C4760">
      <w:pPr>
        <w:rPr>
          <w:b/>
          <w:sz w:val="24"/>
          <w:szCs w:val="24"/>
        </w:rPr>
      </w:pPr>
    </w:p>
    <w:p w:rsidR="00F861EB" w:rsidRDefault="00F861EB" w:rsidP="004C4760">
      <w:pPr>
        <w:rPr>
          <w:b/>
          <w:sz w:val="24"/>
          <w:szCs w:val="24"/>
        </w:rPr>
      </w:pPr>
    </w:p>
    <w:p w:rsidR="00F861EB" w:rsidRDefault="00F861EB" w:rsidP="004C4760">
      <w:pPr>
        <w:rPr>
          <w:b/>
          <w:sz w:val="24"/>
          <w:szCs w:val="24"/>
        </w:rPr>
      </w:pPr>
    </w:p>
    <w:p w:rsidR="00F861EB" w:rsidRDefault="00F861EB" w:rsidP="004C4760">
      <w:pPr>
        <w:rPr>
          <w:b/>
          <w:sz w:val="24"/>
          <w:szCs w:val="24"/>
        </w:rPr>
      </w:pPr>
    </w:p>
    <w:p w:rsidR="00126A2C" w:rsidRDefault="00F861EB" w:rsidP="00F861EB">
      <w:pPr>
        <w:jc w:val="center"/>
        <w:rPr>
          <w:b/>
          <w:sz w:val="36"/>
          <w:szCs w:val="36"/>
        </w:rPr>
      </w:pPr>
      <w:r w:rsidRPr="00F861EB">
        <w:rPr>
          <w:b/>
          <w:sz w:val="36"/>
          <w:szCs w:val="36"/>
        </w:rPr>
        <w:t>Povzetek p</w:t>
      </w:r>
      <w:r w:rsidR="00E11FF6" w:rsidRPr="00F861EB">
        <w:rPr>
          <w:b/>
          <w:sz w:val="36"/>
          <w:szCs w:val="36"/>
        </w:rPr>
        <w:t>oslovn</w:t>
      </w:r>
      <w:r w:rsidRPr="00F861EB">
        <w:rPr>
          <w:b/>
          <w:sz w:val="36"/>
          <w:szCs w:val="36"/>
        </w:rPr>
        <w:t>ega</w:t>
      </w:r>
      <w:r w:rsidR="00E11FF6" w:rsidRPr="00F861EB">
        <w:rPr>
          <w:b/>
          <w:sz w:val="36"/>
          <w:szCs w:val="36"/>
        </w:rPr>
        <w:t xml:space="preserve"> načrt</w:t>
      </w:r>
      <w:r w:rsidRPr="00F861EB">
        <w:rPr>
          <w:b/>
          <w:sz w:val="36"/>
          <w:szCs w:val="36"/>
        </w:rPr>
        <w:t>a</w:t>
      </w:r>
      <w:r w:rsidR="00E11FF6" w:rsidRPr="00F861EB">
        <w:rPr>
          <w:b/>
          <w:sz w:val="36"/>
          <w:szCs w:val="36"/>
        </w:rPr>
        <w:t xml:space="preserve"> 2012 </w:t>
      </w:r>
    </w:p>
    <w:p w:rsidR="00E11FF6" w:rsidRPr="00FA673C" w:rsidRDefault="00E11FF6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1B380D" w:rsidRDefault="001B380D" w:rsidP="004C4760">
      <w:pPr>
        <w:rPr>
          <w:sz w:val="21"/>
          <w:szCs w:val="21"/>
        </w:rPr>
      </w:pPr>
    </w:p>
    <w:p w:rsidR="001B380D" w:rsidRDefault="001B380D" w:rsidP="004C4760">
      <w:pPr>
        <w:rPr>
          <w:sz w:val="21"/>
          <w:szCs w:val="21"/>
        </w:rPr>
      </w:pPr>
    </w:p>
    <w:p w:rsidR="001B380D" w:rsidRDefault="001B380D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4C4760">
      <w:pPr>
        <w:rPr>
          <w:sz w:val="21"/>
          <w:szCs w:val="21"/>
        </w:rPr>
      </w:pPr>
    </w:p>
    <w:p w:rsidR="00F861EB" w:rsidRDefault="00F861EB" w:rsidP="00F861EB">
      <w:pPr>
        <w:jc w:val="center"/>
        <w:rPr>
          <w:sz w:val="21"/>
          <w:szCs w:val="21"/>
        </w:rPr>
      </w:pPr>
      <w:r>
        <w:rPr>
          <w:sz w:val="21"/>
          <w:szCs w:val="21"/>
        </w:rPr>
        <w:t>December 2011</w:t>
      </w:r>
    </w:p>
    <w:p w:rsidR="00EE0D8C" w:rsidRPr="00F861EB" w:rsidRDefault="00E11FF6" w:rsidP="00EE0D8C">
      <w:pPr>
        <w:rPr>
          <w:sz w:val="20"/>
          <w:szCs w:val="20"/>
        </w:rPr>
      </w:pPr>
      <w:r w:rsidRPr="00F861EB">
        <w:rPr>
          <w:sz w:val="20"/>
          <w:szCs w:val="20"/>
        </w:rPr>
        <w:lastRenderedPageBreak/>
        <w:t xml:space="preserve">Nadzorni svet Luke Koper, d.d. se je na seji </w:t>
      </w:r>
      <w:r w:rsidR="001B380D">
        <w:rPr>
          <w:sz w:val="20"/>
          <w:szCs w:val="20"/>
        </w:rPr>
        <w:t xml:space="preserve">20. 12. </w:t>
      </w:r>
      <w:r w:rsidRPr="00F861EB">
        <w:rPr>
          <w:sz w:val="20"/>
          <w:szCs w:val="20"/>
        </w:rPr>
        <w:t xml:space="preserve">2011 seznanil </w:t>
      </w:r>
      <w:r w:rsidR="00A80794">
        <w:rPr>
          <w:sz w:val="20"/>
          <w:szCs w:val="20"/>
        </w:rPr>
        <w:t xml:space="preserve">z </w:t>
      </w:r>
      <w:r w:rsidR="007D1784">
        <w:rPr>
          <w:sz w:val="20"/>
          <w:szCs w:val="20"/>
        </w:rPr>
        <w:t>dopolnjenim</w:t>
      </w:r>
      <w:r w:rsidRPr="00F861EB">
        <w:rPr>
          <w:sz w:val="20"/>
          <w:szCs w:val="20"/>
        </w:rPr>
        <w:t xml:space="preserve"> poslo</w:t>
      </w:r>
      <w:r w:rsidR="00B83E9F" w:rsidRPr="00F861EB">
        <w:rPr>
          <w:sz w:val="20"/>
          <w:szCs w:val="20"/>
        </w:rPr>
        <w:t>vnim načrtom družbe za leto 2012</w:t>
      </w:r>
      <w:r w:rsidR="00A80794">
        <w:rPr>
          <w:sz w:val="20"/>
          <w:szCs w:val="20"/>
        </w:rPr>
        <w:t xml:space="preserve"> in</w:t>
      </w:r>
      <w:r w:rsidR="007D1784">
        <w:rPr>
          <w:sz w:val="20"/>
          <w:szCs w:val="20"/>
        </w:rPr>
        <w:t xml:space="preserve"> se z njim strinjal</w:t>
      </w:r>
      <w:r w:rsidR="00EE0D8C">
        <w:rPr>
          <w:sz w:val="20"/>
          <w:szCs w:val="20"/>
        </w:rPr>
        <w:t>.</w:t>
      </w:r>
      <w:r w:rsidR="00EE0D8C" w:rsidRPr="00EE0D8C">
        <w:rPr>
          <w:sz w:val="20"/>
          <w:szCs w:val="20"/>
        </w:rPr>
        <w:t xml:space="preserve"> </w:t>
      </w:r>
      <w:r w:rsidR="00EE0D8C" w:rsidRPr="00F861EB">
        <w:rPr>
          <w:sz w:val="20"/>
          <w:szCs w:val="20"/>
        </w:rPr>
        <w:t xml:space="preserve">Ta predvideva poslovne prihodke Skupine Luka Koper v višini 150,4 milijona evrov, za matično družbo pa v višini </w:t>
      </w:r>
      <w:r w:rsidR="00EE0D8C" w:rsidRPr="00414895">
        <w:rPr>
          <w:sz w:val="20"/>
          <w:szCs w:val="20"/>
        </w:rPr>
        <w:t>140,</w:t>
      </w:r>
      <w:r w:rsidR="00FA06B3" w:rsidRPr="00414895">
        <w:rPr>
          <w:sz w:val="20"/>
          <w:szCs w:val="20"/>
        </w:rPr>
        <w:t>8</w:t>
      </w:r>
      <w:r w:rsidR="00EE0D8C" w:rsidRPr="00F861EB">
        <w:rPr>
          <w:sz w:val="20"/>
          <w:szCs w:val="20"/>
        </w:rPr>
        <w:t xml:space="preserve"> milijona evrov</w:t>
      </w:r>
      <w:r w:rsidR="00CF0603">
        <w:rPr>
          <w:sz w:val="20"/>
          <w:szCs w:val="20"/>
        </w:rPr>
        <w:t>, kar je za 6 odstotkov več kot ocena za leto 2011.</w:t>
      </w:r>
      <w:r w:rsidR="00852EDA">
        <w:rPr>
          <w:sz w:val="20"/>
          <w:szCs w:val="20"/>
        </w:rPr>
        <w:t xml:space="preserve"> Največjo rast prihodkov v letu 2012 pričakujemo na segmentu kontejnerjev.</w:t>
      </w:r>
    </w:p>
    <w:p w:rsidR="00B52F32" w:rsidRPr="00F861EB" w:rsidRDefault="00B52F32" w:rsidP="004C4760">
      <w:pPr>
        <w:rPr>
          <w:sz w:val="20"/>
          <w:szCs w:val="20"/>
        </w:rPr>
      </w:pPr>
    </w:p>
    <w:p w:rsidR="00EE0D8C" w:rsidRDefault="00EE0D8C" w:rsidP="004C4760">
      <w:pPr>
        <w:rPr>
          <w:b/>
          <w:sz w:val="20"/>
          <w:szCs w:val="20"/>
        </w:rPr>
      </w:pPr>
    </w:p>
    <w:p w:rsidR="00B52F32" w:rsidRPr="00F861EB" w:rsidRDefault="00B52F32" w:rsidP="004C4760">
      <w:pPr>
        <w:rPr>
          <w:b/>
          <w:sz w:val="20"/>
          <w:szCs w:val="20"/>
        </w:rPr>
      </w:pPr>
      <w:r w:rsidRPr="00F861EB">
        <w:rPr>
          <w:b/>
          <w:sz w:val="20"/>
          <w:szCs w:val="20"/>
        </w:rPr>
        <w:t xml:space="preserve">Graf 1: Poslovni prihodki (v </w:t>
      </w:r>
      <w:r w:rsidR="00F90694">
        <w:rPr>
          <w:b/>
          <w:sz w:val="20"/>
          <w:szCs w:val="20"/>
        </w:rPr>
        <w:t>milijonih</w:t>
      </w:r>
      <w:r w:rsidRPr="00F861EB">
        <w:rPr>
          <w:b/>
          <w:sz w:val="20"/>
          <w:szCs w:val="20"/>
        </w:rPr>
        <w:t xml:space="preserve"> EUR)</w:t>
      </w:r>
    </w:p>
    <w:p w:rsidR="00B52F32" w:rsidRPr="00F861EB" w:rsidRDefault="00B52F32" w:rsidP="00F90694">
      <w:pPr>
        <w:rPr>
          <w:sz w:val="20"/>
          <w:szCs w:val="20"/>
        </w:rPr>
      </w:pPr>
    </w:p>
    <w:p w:rsidR="00FC6277" w:rsidRPr="00F861EB" w:rsidRDefault="00C34E0C" w:rsidP="00FC6277">
      <w:pPr>
        <w:rPr>
          <w:sz w:val="20"/>
          <w:szCs w:val="20"/>
        </w:rPr>
      </w:pPr>
      <w:r>
        <w:rPr>
          <w:noProof/>
          <w:szCs w:val="20"/>
          <w:lang w:eastAsia="zh-CN"/>
        </w:rPr>
        <w:drawing>
          <wp:inline distT="0" distB="0" distL="0" distR="0">
            <wp:extent cx="4924425" cy="26003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F32" w:rsidRPr="00F861EB" w:rsidRDefault="00B52F32" w:rsidP="004C4760">
      <w:pPr>
        <w:rPr>
          <w:sz w:val="20"/>
          <w:szCs w:val="20"/>
        </w:rPr>
      </w:pPr>
    </w:p>
    <w:p w:rsidR="00B52F32" w:rsidRPr="00F861EB" w:rsidRDefault="00B52F32" w:rsidP="004C4760">
      <w:pPr>
        <w:rPr>
          <w:sz w:val="20"/>
          <w:szCs w:val="20"/>
        </w:rPr>
      </w:pPr>
    </w:p>
    <w:p w:rsidR="00B52F32" w:rsidRPr="00F861EB" w:rsidRDefault="00B52F32" w:rsidP="004C4760">
      <w:pPr>
        <w:rPr>
          <w:b/>
          <w:sz w:val="20"/>
          <w:szCs w:val="20"/>
        </w:rPr>
      </w:pPr>
      <w:r w:rsidRPr="00F861EB">
        <w:rPr>
          <w:b/>
          <w:sz w:val="20"/>
          <w:szCs w:val="20"/>
        </w:rPr>
        <w:t xml:space="preserve">Graf 2: </w:t>
      </w:r>
      <w:r w:rsidR="00F90694">
        <w:rPr>
          <w:b/>
          <w:sz w:val="20"/>
          <w:szCs w:val="20"/>
        </w:rPr>
        <w:t xml:space="preserve">Dobiček iz poslovanja - </w:t>
      </w:r>
      <w:r w:rsidRPr="00F861EB">
        <w:rPr>
          <w:b/>
          <w:sz w:val="20"/>
          <w:szCs w:val="20"/>
        </w:rPr>
        <w:t xml:space="preserve">EBIT (v </w:t>
      </w:r>
      <w:r w:rsidR="00F90694">
        <w:rPr>
          <w:b/>
          <w:sz w:val="20"/>
          <w:szCs w:val="20"/>
        </w:rPr>
        <w:t>milijonih</w:t>
      </w:r>
      <w:r w:rsidRPr="00F861EB">
        <w:rPr>
          <w:b/>
          <w:sz w:val="20"/>
          <w:szCs w:val="20"/>
        </w:rPr>
        <w:t xml:space="preserve"> EUR)</w:t>
      </w:r>
    </w:p>
    <w:p w:rsidR="00B52F32" w:rsidRPr="00F861EB" w:rsidRDefault="00B52F32" w:rsidP="004C4760">
      <w:pPr>
        <w:rPr>
          <w:sz w:val="20"/>
          <w:szCs w:val="20"/>
        </w:rPr>
      </w:pPr>
    </w:p>
    <w:p w:rsidR="00B52F32" w:rsidRPr="00F861EB" w:rsidRDefault="00C34E0C" w:rsidP="004C4760">
      <w:pPr>
        <w:rPr>
          <w:sz w:val="20"/>
          <w:szCs w:val="20"/>
        </w:rPr>
      </w:pPr>
      <w:r>
        <w:rPr>
          <w:noProof/>
          <w:szCs w:val="20"/>
          <w:lang w:eastAsia="zh-CN"/>
        </w:rPr>
        <w:drawing>
          <wp:inline distT="0" distB="0" distL="0" distR="0">
            <wp:extent cx="4924425" cy="26003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F32" w:rsidRPr="00F861EB" w:rsidRDefault="00B52F32" w:rsidP="004C4760">
      <w:pPr>
        <w:rPr>
          <w:sz w:val="20"/>
          <w:szCs w:val="20"/>
        </w:rPr>
      </w:pPr>
    </w:p>
    <w:p w:rsidR="00B52F32" w:rsidRPr="00F861EB" w:rsidRDefault="00B52F32" w:rsidP="004C4760">
      <w:pPr>
        <w:rPr>
          <w:sz w:val="20"/>
          <w:szCs w:val="20"/>
        </w:rPr>
      </w:pPr>
    </w:p>
    <w:p w:rsidR="00126A2C" w:rsidRDefault="00126A2C" w:rsidP="0050418F">
      <w:pPr>
        <w:rPr>
          <w:sz w:val="20"/>
          <w:szCs w:val="20"/>
        </w:rPr>
      </w:pPr>
    </w:p>
    <w:p w:rsidR="0050418F" w:rsidRPr="00F861EB" w:rsidRDefault="0050418F" w:rsidP="0050418F">
      <w:pPr>
        <w:rPr>
          <w:sz w:val="20"/>
          <w:szCs w:val="20"/>
        </w:rPr>
      </w:pPr>
      <w:r w:rsidRPr="00F861EB">
        <w:rPr>
          <w:sz w:val="20"/>
          <w:szCs w:val="20"/>
        </w:rPr>
        <w:t>Poslovni izid iz poslovanja</w:t>
      </w:r>
      <w:r w:rsidR="00A80794">
        <w:rPr>
          <w:sz w:val="20"/>
          <w:szCs w:val="20"/>
        </w:rPr>
        <w:t xml:space="preserve"> (EBIT)</w:t>
      </w:r>
      <w:r w:rsidRPr="00F861EB">
        <w:rPr>
          <w:sz w:val="20"/>
          <w:szCs w:val="20"/>
        </w:rPr>
        <w:t xml:space="preserve"> Skupine bo </w:t>
      </w:r>
      <w:r w:rsidRPr="00883F90">
        <w:rPr>
          <w:sz w:val="20"/>
          <w:szCs w:val="20"/>
        </w:rPr>
        <w:t>2</w:t>
      </w:r>
      <w:r w:rsidR="00FA06B3" w:rsidRPr="00883F90">
        <w:rPr>
          <w:sz w:val="20"/>
          <w:szCs w:val="20"/>
        </w:rPr>
        <w:t>3</w:t>
      </w:r>
      <w:r w:rsidRPr="00883F90">
        <w:rPr>
          <w:sz w:val="20"/>
          <w:szCs w:val="20"/>
        </w:rPr>
        <w:t>,</w:t>
      </w:r>
      <w:r w:rsidR="00FA06B3" w:rsidRPr="00883F90">
        <w:rPr>
          <w:sz w:val="20"/>
          <w:szCs w:val="20"/>
        </w:rPr>
        <w:t>4</w:t>
      </w:r>
      <w:r w:rsidRPr="00F861EB">
        <w:rPr>
          <w:sz w:val="20"/>
          <w:szCs w:val="20"/>
        </w:rPr>
        <w:t xml:space="preserve"> milijon</w:t>
      </w:r>
      <w:r w:rsidR="00FA06B3">
        <w:rPr>
          <w:sz w:val="20"/>
          <w:szCs w:val="20"/>
        </w:rPr>
        <w:t>a</w:t>
      </w:r>
      <w:r w:rsidRPr="00F861EB">
        <w:rPr>
          <w:sz w:val="20"/>
          <w:szCs w:val="20"/>
        </w:rPr>
        <w:t xml:space="preserve"> evrov</w:t>
      </w:r>
      <w:r w:rsidR="00CF0603">
        <w:rPr>
          <w:sz w:val="20"/>
          <w:szCs w:val="20"/>
        </w:rPr>
        <w:t xml:space="preserve">, kar je za </w:t>
      </w:r>
      <w:r w:rsidR="00FA06B3">
        <w:rPr>
          <w:sz w:val="20"/>
          <w:szCs w:val="20"/>
        </w:rPr>
        <w:t>10</w:t>
      </w:r>
      <w:r w:rsidR="00CF0603">
        <w:rPr>
          <w:sz w:val="20"/>
          <w:szCs w:val="20"/>
        </w:rPr>
        <w:t xml:space="preserve"> odstotk</w:t>
      </w:r>
      <w:r w:rsidR="00FA06B3">
        <w:rPr>
          <w:sz w:val="20"/>
          <w:szCs w:val="20"/>
        </w:rPr>
        <w:t>ov</w:t>
      </w:r>
      <w:r w:rsidR="00CF0603">
        <w:rPr>
          <w:sz w:val="20"/>
          <w:szCs w:val="20"/>
        </w:rPr>
        <w:t xml:space="preserve"> več kot ocena za leto 2011.</w:t>
      </w:r>
      <w:r w:rsidRPr="00F861EB">
        <w:rPr>
          <w:sz w:val="20"/>
          <w:szCs w:val="20"/>
        </w:rPr>
        <w:t xml:space="preserve"> </w:t>
      </w:r>
      <w:r w:rsidR="00CF0603">
        <w:rPr>
          <w:sz w:val="20"/>
          <w:szCs w:val="20"/>
        </w:rPr>
        <w:t>Na</w:t>
      </w:r>
      <w:r w:rsidRPr="00F861EB">
        <w:rPr>
          <w:sz w:val="20"/>
          <w:szCs w:val="20"/>
        </w:rPr>
        <w:t xml:space="preserve"> ravni matične družbe </w:t>
      </w:r>
      <w:r w:rsidR="00CF0603">
        <w:rPr>
          <w:sz w:val="20"/>
          <w:szCs w:val="20"/>
        </w:rPr>
        <w:t xml:space="preserve">bo poslovni izid </w:t>
      </w:r>
      <w:r w:rsidR="00FA06B3">
        <w:rPr>
          <w:sz w:val="20"/>
          <w:szCs w:val="20"/>
        </w:rPr>
        <w:t xml:space="preserve">iz poslovanja </w:t>
      </w:r>
      <w:r w:rsidR="00FA06B3" w:rsidRPr="00883F90">
        <w:rPr>
          <w:sz w:val="20"/>
          <w:szCs w:val="20"/>
        </w:rPr>
        <w:t>20,5</w:t>
      </w:r>
      <w:r w:rsidRPr="00F861EB">
        <w:rPr>
          <w:sz w:val="20"/>
          <w:szCs w:val="20"/>
        </w:rPr>
        <w:t xml:space="preserve"> milijon</w:t>
      </w:r>
      <w:r w:rsidR="00FA06B3">
        <w:rPr>
          <w:sz w:val="20"/>
          <w:szCs w:val="20"/>
        </w:rPr>
        <w:t>a</w:t>
      </w:r>
      <w:r w:rsidRPr="00F861EB">
        <w:rPr>
          <w:sz w:val="20"/>
          <w:szCs w:val="20"/>
        </w:rPr>
        <w:t xml:space="preserve"> evrov</w:t>
      </w:r>
      <w:r w:rsidR="00CF0603">
        <w:rPr>
          <w:sz w:val="20"/>
          <w:szCs w:val="20"/>
        </w:rPr>
        <w:t xml:space="preserve"> oz. </w:t>
      </w:r>
      <w:r w:rsidR="00FA06B3">
        <w:rPr>
          <w:sz w:val="20"/>
          <w:szCs w:val="20"/>
        </w:rPr>
        <w:t>14</w:t>
      </w:r>
      <w:r w:rsidR="00CF0603">
        <w:rPr>
          <w:sz w:val="20"/>
          <w:szCs w:val="20"/>
        </w:rPr>
        <w:t xml:space="preserve"> odstotkov več kot ocena za leto 2011.</w:t>
      </w:r>
      <w:r w:rsidR="00A35779">
        <w:rPr>
          <w:sz w:val="20"/>
          <w:szCs w:val="20"/>
        </w:rPr>
        <w:t xml:space="preserve"> Zaradi razmeroma neugodnih makroekonomskih napovedi na ključnih zalednih tržiščih pričakujemo prihodnje leto umiritev rasti dobičkovnosti iz poslovanja (ROS). </w:t>
      </w:r>
    </w:p>
    <w:p w:rsidR="00B52F32" w:rsidRPr="00F861EB" w:rsidRDefault="00B52F32" w:rsidP="004C4760">
      <w:pPr>
        <w:rPr>
          <w:sz w:val="20"/>
          <w:szCs w:val="20"/>
        </w:rPr>
      </w:pPr>
    </w:p>
    <w:p w:rsidR="00B52F32" w:rsidRPr="00F861EB" w:rsidRDefault="00B52F32" w:rsidP="004C4760">
      <w:pPr>
        <w:rPr>
          <w:sz w:val="20"/>
          <w:szCs w:val="20"/>
        </w:rPr>
      </w:pPr>
    </w:p>
    <w:p w:rsidR="00B52F32" w:rsidRPr="00F861EB" w:rsidRDefault="00B52F32" w:rsidP="004C4760">
      <w:pPr>
        <w:rPr>
          <w:sz w:val="20"/>
          <w:szCs w:val="20"/>
        </w:rPr>
      </w:pPr>
    </w:p>
    <w:p w:rsidR="00B52F32" w:rsidRPr="00F861EB" w:rsidRDefault="00B52F32" w:rsidP="004C4760">
      <w:pPr>
        <w:rPr>
          <w:sz w:val="20"/>
          <w:szCs w:val="20"/>
        </w:rPr>
      </w:pPr>
    </w:p>
    <w:p w:rsidR="00B52F32" w:rsidRPr="00F861EB" w:rsidRDefault="00B52F32" w:rsidP="004C4760">
      <w:pPr>
        <w:rPr>
          <w:sz w:val="20"/>
          <w:szCs w:val="20"/>
        </w:rPr>
      </w:pPr>
    </w:p>
    <w:p w:rsidR="0050418F" w:rsidRDefault="0050418F" w:rsidP="0050418F">
      <w:pPr>
        <w:autoSpaceDE w:val="0"/>
        <w:autoSpaceDN w:val="0"/>
        <w:adjustRightInd w:val="0"/>
        <w:rPr>
          <w:rFonts w:cs="Tahoma"/>
          <w:b/>
          <w:bCs/>
          <w:sz w:val="20"/>
          <w:szCs w:val="20"/>
          <w:lang w:eastAsia="zh-CN"/>
        </w:rPr>
      </w:pPr>
      <w:r w:rsidRPr="00F861EB">
        <w:rPr>
          <w:rFonts w:cs="Tahoma"/>
          <w:b/>
          <w:sz w:val="20"/>
          <w:szCs w:val="20"/>
        </w:rPr>
        <w:lastRenderedPageBreak/>
        <w:t xml:space="preserve">Graf 3: </w:t>
      </w:r>
      <w:r w:rsidR="00A80794">
        <w:rPr>
          <w:rFonts w:cs="Tahoma"/>
          <w:b/>
          <w:sz w:val="20"/>
          <w:szCs w:val="20"/>
        </w:rPr>
        <w:t xml:space="preserve">Poenostavljeni denarni tok iz poslovanja - </w:t>
      </w:r>
      <w:r w:rsidRPr="00F861EB">
        <w:rPr>
          <w:rFonts w:cs="Tahoma"/>
          <w:b/>
          <w:bCs/>
          <w:sz w:val="20"/>
          <w:szCs w:val="20"/>
          <w:lang w:eastAsia="zh-CN"/>
        </w:rPr>
        <w:t xml:space="preserve">EBITDA (v </w:t>
      </w:r>
      <w:r w:rsidR="00A80794">
        <w:rPr>
          <w:rFonts w:cs="Tahoma"/>
          <w:b/>
          <w:bCs/>
          <w:sz w:val="20"/>
          <w:szCs w:val="20"/>
          <w:lang w:eastAsia="zh-CN"/>
        </w:rPr>
        <w:t>milijonih</w:t>
      </w:r>
      <w:r w:rsidRPr="00F861EB">
        <w:rPr>
          <w:rFonts w:cs="Tahoma"/>
          <w:b/>
          <w:bCs/>
          <w:sz w:val="20"/>
          <w:szCs w:val="20"/>
          <w:lang w:eastAsia="zh-CN"/>
        </w:rPr>
        <w:t xml:space="preserve"> EUR)</w:t>
      </w:r>
    </w:p>
    <w:p w:rsidR="00F90694" w:rsidRDefault="00F90694" w:rsidP="0050418F">
      <w:pPr>
        <w:autoSpaceDE w:val="0"/>
        <w:autoSpaceDN w:val="0"/>
        <w:adjustRightInd w:val="0"/>
        <w:rPr>
          <w:rFonts w:cs="Tahoma"/>
          <w:b/>
          <w:bCs/>
          <w:sz w:val="20"/>
          <w:szCs w:val="20"/>
          <w:lang w:eastAsia="zh-CN"/>
        </w:rPr>
      </w:pPr>
    </w:p>
    <w:p w:rsidR="00F90694" w:rsidRPr="00F861EB" w:rsidRDefault="00C34E0C" w:rsidP="0050418F">
      <w:pPr>
        <w:autoSpaceDE w:val="0"/>
        <w:autoSpaceDN w:val="0"/>
        <w:adjustRightInd w:val="0"/>
        <w:rPr>
          <w:rFonts w:cs="Tahoma"/>
          <w:b/>
          <w:sz w:val="20"/>
          <w:szCs w:val="20"/>
          <w:lang w:eastAsia="zh-CN"/>
        </w:rPr>
      </w:pPr>
      <w:r>
        <w:rPr>
          <w:noProof/>
          <w:szCs w:val="20"/>
          <w:lang w:eastAsia="zh-CN"/>
        </w:rPr>
        <w:drawing>
          <wp:inline distT="0" distB="0" distL="0" distR="0">
            <wp:extent cx="4324350" cy="26003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F32" w:rsidRPr="00F861EB" w:rsidRDefault="00B52F32" w:rsidP="004C4760">
      <w:pPr>
        <w:rPr>
          <w:sz w:val="20"/>
          <w:szCs w:val="20"/>
        </w:rPr>
      </w:pPr>
    </w:p>
    <w:p w:rsidR="00B52F32" w:rsidRPr="00F861EB" w:rsidRDefault="00B52F32" w:rsidP="004C4760">
      <w:pPr>
        <w:rPr>
          <w:sz w:val="20"/>
          <w:szCs w:val="20"/>
        </w:rPr>
      </w:pPr>
    </w:p>
    <w:p w:rsidR="0050418F" w:rsidRPr="00F861EB" w:rsidRDefault="00047579" w:rsidP="004C4760">
      <w:pPr>
        <w:rPr>
          <w:sz w:val="20"/>
          <w:szCs w:val="20"/>
        </w:rPr>
      </w:pPr>
      <w:r w:rsidRPr="00F861EB">
        <w:rPr>
          <w:sz w:val="20"/>
          <w:szCs w:val="20"/>
        </w:rPr>
        <w:t>V Skupini bomo ustvarili za 5</w:t>
      </w:r>
      <w:r w:rsidR="00FA06B3">
        <w:rPr>
          <w:sz w:val="20"/>
          <w:szCs w:val="20"/>
        </w:rPr>
        <w:t>2</w:t>
      </w:r>
      <w:r w:rsidRPr="00F861EB">
        <w:rPr>
          <w:sz w:val="20"/>
          <w:szCs w:val="20"/>
        </w:rPr>
        <w:t>,</w:t>
      </w:r>
      <w:r w:rsidR="00FA06B3">
        <w:rPr>
          <w:sz w:val="20"/>
          <w:szCs w:val="20"/>
        </w:rPr>
        <w:t>0</w:t>
      </w:r>
      <w:r w:rsidRPr="00F861EB">
        <w:rPr>
          <w:sz w:val="20"/>
          <w:szCs w:val="20"/>
        </w:rPr>
        <w:t xml:space="preserve"> milijon</w:t>
      </w:r>
      <w:r w:rsidR="00FA06B3">
        <w:rPr>
          <w:sz w:val="20"/>
          <w:szCs w:val="20"/>
        </w:rPr>
        <w:t>ov</w:t>
      </w:r>
      <w:r w:rsidRPr="00F861EB">
        <w:rPr>
          <w:sz w:val="20"/>
          <w:szCs w:val="20"/>
        </w:rPr>
        <w:t xml:space="preserve"> evrov poenostavljenega denarnega toka (EBITDA), od tega bo matična družba ustvarila 4</w:t>
      </w:r>
      <w:r w:rsidR="00FA06B3">
        <w:rPr>
          <w:sz w:val="20"/>
          <w:szCs w:val="20"/>
        </w:rPr>
        <w:t>7</w:t>
      </w:r>
      <w:r w:rsidRPr="00F861EB">
        <w:rPr>
          <w:sz w:val="20"/>
          <w:szCs w:val="20"/>
        </w:rPr>
        <w:t>,</w:t>
      </w:r>
      <w:r w:rsidR="00FA06B3">
        <w:rPr>
          <w:sz w:val="20"/>
          <w:szCs w:val="20"/>
        </w:rPr>
        <w:t>2</w:t>
      </w:r>
      <w:r w:rsidRPr="00F861EB">
        <w:rPr>
          <w:sz w:val="20"/>
          <w:szCs w:val="20"/>
        </w:rPr>
        <w:t xml:space="preserve"> milijona evrov</w:t>
      </w:r>
      <w:r w:rsidR="0050418F" w:rsidRPr="00F861EB">
        <w:rPr>
          <w:sz w:val="20"/>
          <w:szCs w:val="20"/>
        </w:rPr>
        <w:t>.</w:t>
      </w:r>
    </w:p>
    <w:p w:rsidR="0050418F" w:rsidRPr="00F861EB" w:rsidRDefault="0050418F" w:rsidP="004C4760">
      <w:pPr>
        <w:rPr>
          <w:sz w:val="20"/>
          <w:szCs w:val="20"/>
        </w:rPr>
      </w:pPr>
    </w:p>
    <w:p w:rsidR="0050418F" w:rsidRPr="00F861EB" w:rsidRDefault="0050418F" w:rsidP="004C4760">
      <w:pPr>
        <w:rPr>
          <w:b/>
          <w:sz w:val="20"/>
          <w:szCs w:val="20"/>
        </w:rPr>
      </w:pPr>
    </w:p>
    <w:p w:rsidR="00FC6277" w:rsidRDefault="00FC6277" w:rsidP="004C4760">
      <w:pPr>
        <w:rPr>
          <w:b/>
          <w:sz w:val="20"/>
          <w:szCs w:val="20"/>
        </w:rPr>
      </w:pPr>
    </w:p>
    <w:p w:rsidR="00FC6277" w:rsidRDefault="00FC6277" w:rsidP="004C4760">
      <w:pPr>
        <w:rPr>
          <w:b/>
          <w:sz w:val="20"/>
          <w:szCs w:val="20"/>
        </w:rPr>
      </w:pPr>
    </w:p>
    <w:p w:rsidR="0050418F" w:rsidRPr="00F861EB" w:rsidRDefault="0050418F" w:rsidP="004C4760">
      <w:pPr>
        <w:rPr>
          <w:b/>
          <w:sz w:val="20"/>
          <w:szCs w:val="20"/>
        </w:rPr>
      </w:pPr>
      <w:r w:rsidRPr="00F861EB">
        <w:rPr>
          <w:b/>
          <w:sz w:val="20"/>
          <w:szCs w:val="20"/>
        </w:rPr>
        <w:t>Graf 4: Čisti poslovni izid (</w:t>
      </w:r>
      <w:r w:rsidR="007D1784">
        <w:rPr>
          <w:b/>
          <w:sz w:val="20"/>
          <w:szCs w:val="20"/>
        </w:rPr>
        <w:t>v milijonih</w:t>
      </w:r>
      <w:r w:rsidRPr="00F861EB">
        <w:rPr>
          <w:b/>
          <w:sz w:val="20"/>
          <w:szCs w:val="20"/>
        </w:rPr>
        <w:t xml:space="preserve"> EUR)</w:t>
      </w:r>
    </w:p>
    <w:p w:rsidR="0050418F" w:rsidRPr="00F861EB" w:rsidRDefault="0050418F" w:rsidP="004C4760">
      <w:pPr>
        <w:rPr>
          <w:sz w:val="20"/>
          <w:szCs w:val="20"/>
        </w:rPr>
      </w:pPr>
    </w:p>
    <w:p w:rsidR="0050418F" w:rsidRPr="00F861EB" w:rsidRDefault="00C34E0C" w:rsidP="004C4760">
      <w:pPr>
        <w:rPr>
          <w:sz w:val="20"/>
          <w:szCs w:val="20"/>
        </w:rPr>
      </w:pPr>
      <w:r>
        <w:rPr>
          <w:noProof/>
          <w:szCs w:val="20"/>
          <w:lang w:eastAsia="zh-CN"/>
        </w:rPr>
        <w:drawing>
          <wp:inline distT="0" distB="0" distL="0" distR="0">
            <wp:extent cx="4924425" cy="26003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18F" w:rsidRPr="00F861EB" w:rsidRDefault="0050418F" w:rsidP="004C4760">
      <w:pPr>
        <w:rPr>
          <w:sz w:val="20"/>
          <w:szCs w:val="20"/>
        </w:rPr>
      </w:pPr>
    </w:p>
    <w:p w:rsidR="0050418F" w:rsidRPr="00F861EB" w:rsidRDefault="0050418F" w:rsidP="004C4760">
      <w:pPr>
        <w:rPr>
          <w:sz w:val="20"/>
          <w:szCs w:val="20"/>
        </w:rPr>
      </w:pPr>
    </w:p>
    <w:p w:rsidR="00126A2C" w:rsidRDefault="00126A2C" w:rsidP="007D1784">
      <w:pPr>
        <w:rPr>
          <w:sz w:val="20"/>
          <w:szCs w:val="20"/>
        </w:rPr>
      </w:pPr>
    </w:p>
    <w:p w:rsidR="007D1784" w:rsidRPr="00F861EB" w:rsidRDefault="007D1784" w:rsidP="007D1784">
      <w:pPr>
        <w:rPr>
          <w:sz w:val="20"/>
          <w:szCs w:val="20"/>
        </w:rPr>
      </w:pPr>
      <w:r w:rsidRPr="00F861EB">
        <w:rPr>
          <w:sz w:val="20"/>
          <w:szCs w:val="20"/>
        </w:rPr>
        <w:t xml:space="preserve">Načrtovani čisti poslovni izid Skupine je </w:t>
      </w:r>
      <w:r w:rsidRPr="00883F90">
        <w:rPr>
          <w:sz w:val="20"/>
          <w:szCs w:val="20"/>
        </w:rPr>
        <w:t>1</w:t>
      </w:r>
      <w:r w:rsidR="00FA06B3" w:rsidRPr="00883F90">
        <w:rPr>
          <w:sz w:val="20"/>
          <w:szCs w:val="20"/>
        </w:rPr>
        <w:t>3</w:t>
      </w:r>
      <w:r w:rsidRPr="00883F90">
        <w:rPr>
          <w:sz w:val="20"/>
          <w:szCs w:val="20"/>
        </w:rPr>
        <w:t>,</w:t>
      </w:r>
      <w:r w:rsidR="00FA06B3" w:rsidRPr="00883F90">
        <w:rPr>
          <w:sz w:val="20"/>
          <w:szCs w:val="20"/>
        </w:rPr>
        <w:t>6</w:t>
      </w:r>
      <w:r w:rsidRPr="00F861EB">
        <w:rPr>
          <w:sz w:val="20"/>
          <w:szCs w:val="20"/>
        </w:rPr>
        <w:t xml:space="preserve"> milijona, matične družbe pa </w:t>
      </w:r>
      <w:r w:rsidRPr="00883F90">
        <w:rPr>
          <w:sz w:val="20"/>
          <w:szCs w:val="20"/>
        </w:rPr>
        <w:t>1</w:t>
      </w:r>
      <w:r w:rsidR="00FA06B3" w:rsidRPr="00883F90">
        <w:rPr>
          <w:sz w:val="20"/>
          <w:szCs w:val="20"/>
        </w:rPr>
        <w:t>1</w:t>
      </w:r>
      <w:r w:rsidRPr="00883F90">
        <w:rPr>
          <w:sz w:val="20"/>
          <w:szCs w:val="20"/>
        </w:rPr>
        <w:t>,</w:t>
      </w:r>
      <w:r w:rsidR="00FA06B3" w:rsidRPr="00883F90">
        <w:rPr>
          <w:sz w:val="20"/>
          <w:szCs w:val="20"/>
        </w:rPr>
        <w:t>4</w:t>
      </w:r>
      <w:r w:rsidRPr="00F861EB">
        <w:rPr>
          <w:sz w:val="20"/>
          <w:szCs w:val="20"/>
        </w:rPr>
        <w:t xml:space="preserve"> milijona evrov.</w:t>
      </w:r>
    </w:p>
    <w:p w:rsidR="007D1784" w:rsidRPr="00F861EB" w:rsidRDefault="007D1784" w:rsidP="007D1784">
      <w:pPr>
        <w:rPr>
          <w:sz w:val="20"/>
          <w:szCs w:val="20"/>
        </w:rPr>
      </w:pPr>
      <w:r w:rsidRPr="00F861EB">
        <w:rPr>
          <w:sz w:val="20"/>
          <w:szCs w:val="20"/>
        </w:rPr>
        <w:t xml:space="preserve">Načrtovani </w:t>
      </w:r>
      <w:r>
        <w:rPr>
          <w:sz w:val="20"/>
          <w:szCs w:val="20"/>
        </w:rPr>
        <w:t>čisti poslovni izid za 2012</w:t>
      </w:r>
      <w:r w:rsidRPr="00F861EB">
        <w:rPr>
          <w:sz w:val="20"/>
          <w:szCs w:val="20"/>
        </w:rPr>
        <w:t xml:space="preserve"> je boljši od ocene za 2011, kjer smo že upoštevali </w:t>
      </w:r>
      <w:r w:rsidR="00C63F14">
        <w:rPr>
          <w:sz w:val="20"/>
          <w:szCs w:val="20"/>
        </w:rPr>
        <w:t xml:space="preserve">dodatne </w:t>
      </w:r>
      <w:r w:rsidRPr="00F861EB">
        <w:rPr>
          <w:sz w:val="20"/>
          <w:szCs w:val="20"/>
        </w:rPr>
        <w:t>slabitve finančn</w:t>
      </w:r>
      <w:r w:rsidR="00C63F14">
        <w:rPr>
          <w:sz w:val="20"/>
          <w:szCs w:val="20"/>
        </w:rPr>
        <w:t>e naložbe v Intereuropo d.d.</w:t>
      </w:r>
      <w:r w:rsidR="00E87906">
        <w:rPr>
          <w:sz w:val="20"/>
          <w:szCs w:val="20"/>
        </w:rPr>
        <w:t xml:space="preserve"> </w:t>
      </w:r>
      <w:r>
        <w:rPr>
          <w:sz w:val="20"/>
          <w:szCs w:val="20"/>
        </w:rPr>
        <w:t>Ocena čistega poslovnega izida za leto 2011 znaša za Skupino 0,</w:t>
      </w:r>
      <w:r w:rsidR="005D2554">
        <w:rPr>
          <w:sz w:val="20"/>
          <w:szCs w:val="20"/>
        </w:rPr>
        <w:t>3</w:t>
      </w:r>
      <w:r>
        <w:rPr>
          <w:sz w:val="20"/>
          <w:szCs w:val="20"/>
        </w:rPr>
        <w:t xml:space="preserve"> milijona evrov, za matično družbo pa -1,7 milijona evrov.</w:t>
      </w:r>
    </w:p>
    <w:p w:rsidR="0050418F" w:rsidRPr="00F861EB" w:rsidRDefault="0050418F" w:rsidP="004C4760">
      <w:pPr>
        <w:rPr>
          <w:sz w:val="20"/>
          <w:szCs w:val="20"/>
        </w:rPr>
      </w:pPr>
    </w:p>
    <w:p w:rsidR="0050418F" w:rsidRPr="00F861EB" w:rsidRDefault="0050418F" w:rsidP="004C4760">
      <w:pPr>
        <w:rPr>
          <w:sz w:val="20"/>
          <w:szCs w:val="20"/>
        </w:rPr>
      </w:pPr>
    </w:p>
    <w:p w:rsidR="0050418F" w:rsidRPr="00F861EB" w:rsidRDefault="0050418F" w:rsidP="004C4760">
      <w:pPr>
        <w:rPr>
          <w:sz w:val="20"/>
          <w:szCs w:val="20"/>
        </w:rPr>
      </w:pPr>
    </w:p>
    <w:p w:rsidR="0050418F" w:rsidRPr="00F861EB" w:rsidRDefault="0050418F" w:rsidP="004C4760">
      <w:pPr>
        <w:rPr>
          <w:sz w:val="20"/>
          <w:szCs w:val="20"/>
        </w:rPr>
      </w:pPr>
    </w:p>
    <w:p w:rsidR="0050418F" w:rsidRPr="00F861EB" w:rsidRDefault="0050418F" w:rsidP="004C4760">
      <w:pPr>
        <w:rPr>
          <w:sz w:val="20"/>
          <w:szCs w:val="20"/>
        </w:rPr>
      </w:pPr>
    </w:p>
    <w:p w:rsidR="00B83E9F" w:rsidRPr="00F861EB" w:rsidRDefault="008D18D7" w:rsidP="00B26FB0">
      <w:pPr>
        <w:pStyle w:val="Default"/>
        <w:rPr>
          <w:b/>
          <w:sz w:val="20"/>
          <w:szCs w:val="20"/>
        </w:rPr>
      </w:pPr>
      <w:r w:rsidRPr="00F861EB">
        <w:rPr>
          <w:b/>
          <w:sz w:val="20"/>
          <w:szCs w:val="20"/>
        </w:rPr>
        <w:lastRenderedPageBreak/>
        <w:t xml:space="preserve">Graf 5: </w:t>
      </w:r>
      <w:r w:rsidR="00FC6277">
        <w:rPr>
          <w:b/>
          <w:sz w:val="20"/>
          <w:szCs w:val="20"/>
        </w:rPr>
        <w:t xml:space="preserve"> Razmerje n</w:t>
      </w:r>
      <w:r w:rsidRPr="00F861EB">
        <w:rPr>
          <w:b/>
          <w:sz w:val="20"/>
          <w:szCs w:val="20"/>
        </w:rPr>
        <w:t>eto finančni dolg / EBITDA</w:t>
      </w:r>
      <w:r w:rsidR="00FC6277">
        <w:rPr>
          <w:b/>
          <w:sz w:val="20"/>
          <w:szCs w:val="20"/>
        </w:rPr>
        <w:t xml:space="preserve"> (Skupina Luka Koper)</w:t>
      </w:r>
    </w:p>
    <w:p w:rsidR="008D18D7" w:rsidRPr="00F861EB" w:rsidRDefault="008D18D7" w:rsidP="00B26FB0">
      <w:pPr>
        <w:pStyle w:val="Default"/>
        <w:rPr>
          <w:b/>
          <w:sz w:val="20"/>
          <w:szCs w:val="20"/>
        </w:rPr>
      </w:pPr>
    </w:p>
    <w:p w:rsidR="008D18D7" w:rsidRPr="00F861EB" w:rsidRDefault="00FB2C10" w:rsidP="00B26FB0">
      <w:pPr>
        <w:pStyle w:val="Default"/>
        <w:rPr>
          <w:b/>
          <w:sz w:val="20"/>
          <w:szCs w:val="20"/>
        </w:rPr>
      </w:pPr>
      <w:r w:rsidRPr="00FB2C10">
        <w:rPr>
          <w:noProof/>
          <w:szCs w:val="20"/>
        </w:rPr>
        <w:drawing>
          <wp:inline distT="0" distB="0" distL="0" distR="0">
            <wp:extent cx="5210175" cy="27527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8D7" w:rsidRPr="00F861EB" w:rsidRDefault="008D18D7" w:rsidP="00B26FB0">
      <w:pPr>
        <w:pStyle w:val="Default"/>
        <w:rPr>
          <w:sz w:val="20"/>
          <w:szCs w:val="20"/>
        </w:rPr>
      </w:pPr>
    </w:p>
    <w:p w:rsidR="008D18D7" w:rsidRPr="00F861EB" w:rsidRDefault="008D18D7" w:rsidP="00B26FB0">
      <w:pPr>
        <w:pStyle w:val="Default"/>
        <w:rPr>
          <w:sz w:val="20"/>
          <w:szCs w:val="20"/>
        </w:rPr>
      </w:pPr>
    </w:p>
    <w:p w:rsidR="008D18D7" w:rsidRPr="00F861EB" w:rsidRDefault="00862200" w:rsidP="008D18D7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 xml:space="preserve">Graf 6: </w:t>
      </w:r>
      <w:r w:rsidR="008D18D7" w:rsidRPr="00F861EB">
        <w:rPr>
          <w:b/>
          <w:sz w:val="20"/>
          <w:szCs w:val="20"/>
        </w:rPr>
        <w:t>Naložbe</w:t>
      </w:r>
      <w:r w:rsidR="00FC02A2">
        <w:rPr>
          <w:b/>
          <w:sz w:val="20"/>
          <w:szCs w:val="20"/>
        </w:rPr>
        <w:t>nje v neopredmetena in opredmetena sredstva</w:t>
      </w:r>
    </w:p>
    <w:p w:rsidR="008D18D7" w:rsidRPr="00F861EB" w:rsidRDefault="008D18D7" w:rsidP="008D18D7">
      <w:pPr>
        <w:pStyle w:val="Default"/>
        <w:rPr>
          <w:sz w:val="20"/>
          <w:szCs w:val="20"/>
        </w:rPr>
      </w:pPr>
    </w:p>
    <w:p w:rsidR="00862200" w:rsidRDefault="00443214" w:rsidP="008D18D7">
      <w:pPr>
        <w:pStyle w:val="Default"/>
        <w:rPr>
          <w:sz w:val="20"/>
          <w:szCs w:val="20"/>
        </w:rPr>
      </w:pPr>
      <w:r w:rsidRPr="00443214">
        <w:rPr>
          <w:noProof/>
          <w:szCs w:val="20"/>
        </w:rPr>
        <w:drawing>
          <wp:inline distT="0" distB="0" distL="0" distR="0">
            <wp:extent cx="4581525" cy="2752725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200" w:rsidRDefault="00862200" w:rsidP="008D18D7">
      <w:pPr>
        <w:pStyle w:val="Default"/>
        <w:rPr>
          <w:sz w:val="20"/>
          <w:szCs w:val="20"/>
        </w:rPr>
      </w:pPr>
    </w:p>
    <w:p w:rsidR="00126A2C" w:rsidRDefault="00126A2C" w:rsidP="008D18D7">
      <w:pPr>
        <w:pStyle w:val="Default"/>
        <w:rPr>
          <w:sz w:val="20"/>
          <w:szCs w:val="20"/>
        </w:rPr>
      </w:pPr>
    </w:p>
    <w:p w:rsidR="00126A2C" w:rsidRDefault="00126A2C" w:rsidP="008D18D7">
      <w:pPr>
        <w:pStyle w:val="Default"/>
        <w:rPr>
          <w:sz w:val="20"/>
          <w:szCs w:val="20"/>
        </w:rPr>
      </w:pPr>
    </w:p>
    <w:p w:rsidR="008D18D7" w:rsidRPr="00F861EB" w:rsidRDefault="008D18D7" w:rsidP="008D18D7">
      <w:pPr>
        <w:pStyle w:val="Default"/>
        <w:rPr>
          <w:sz w:val="20"/>
          <w:szCs w:val="20"/>
        </w:rPr>
      </w:pPr>
      <w:r w:rsidRPr="00F861EB">
        <w:rPr>
          <w:sz w:val="20"/>
          <w:szCs w:val="20"/>
        </w:rPr>
        <w:t>V letu 2012 načrtujemo v Skupini za 35</w:t>
      </w:r>
      <w:r w:rsidR="00FC02A2">
        <w:rPr>
          <w:sz w:val="20"/>
          <w:szCs w:val="20"/>
        </w:rPr>
        <w:t>,0</w:t>
      </w:r>
      <w:r w:rsidRPr="00F861EB">
        <w:rPr>
          <w:sz w:val="20"/>
          <w:szCs w:val="20"/>
        </w:rPr>
        <w:t xml:space="preserve"> milijonov evrov naložb</w:t>
      </w:r>
      <w:r w:rsidR="00862200">
        <w:rPr>
          <w:sz w:val="20"/>
          <w:szCs w:val="20"/>
        </w:rPr>
        <w:t xml:space="preserve"> v </w:t>
      </w:r>
      <w:r w:rsidR="00852EDA">
        <w:rPr>
          <w:sz w:val="20"/>
          <w:szCs w:val="20"/>
        </w:rPr>
        <w:t>neopredmetena</w:t>
      </w:r>
      <w:r w:rsidR="00862200">
        <w:rPr>
          <w:sz w:val="20"/>
          <w:szCs w:val="20"/>
        </w:rPr>
        <w:t xml:space="preserve"> in opredmetena sredstva</w:t>
      </w:r>
      <w:r w:rsidRPr="00F861EB">
        <w:rPr>
          <w:sz w:val="20"/>
          <w:szCs w:val="20"/>
        </w:rPr>
        <w:t>, kar je 80 odstotkov več od letošnje ocene. Večina naložb (33</w:t>
      </w:r>
      <w:r w:rsidR="00FC02A2">
        <w:rPr>
          <w:sz w:val="20"/>
          <w:szCs w:val="20"/>
        </w:rPr>
        <w:t>,0</w:t>
      </w:r>
      <w:r w:rsidRPr="00F861EB">
        <w:rPr>
          <w:sz w:val="20"/>
          <w:szCs w:val="20"/>
        </w:rPr>
        <w:t xml:space="preserve"> milijonov evrov) se nanaša na matično družbo. Skladno s strateškim poslovnim načrtom bomo naložbene aktivnosti usmerili predvsem v odpravo ozkih grl na kontejnerskem terminalu. V prvi polovici leta 2012 bo tudi pripravljena študija ekonomske upravičenosti za povečanje kapacitet kontejnerskega terminala, ki bo vključevala tudi izgradnjo </w:t>
      </w:r>
      <w:r w:rsidR="005D2554">
        <w:rPr>
          <w:sz w:val="20"/>
          <w:szCs w:val="20"/>
        </w:rPr>
        <w:t>tretjega</w:t>
      </w:r>
      <w:r w:rsidRPr="00F861EB">
        <w:rPr>
          <w:sz w:val="20"/>
          <w:szCs w:val="20"/>
        </w:rPr>
        <w:t xml:space="preserve"> pomola. </w:t>
      </w:r>
    </w:p>
    <w:p w:rsidR="008D18D7" w:rsidRPr="00F861EB" w:rsidRDefault="008D18D7" w:rsidP="008D18D7">
      <w:pPr>
        <w:pStyle w:val="Default"/>
        <w:rPr>
          <w:sz w:val="20"/>
          <w:szCs w:val="20"/>
        </w:rPr>
      </w:pPr>
    </w:p>
    <w:p w:rsidR="008D18D7" w:rsidRPr="00F861EB" w:rsidRDefault="008D18D7" w:rsidP="008D18D7">
      <w:pPr>
        <w:pStyle w:val="Default"/>
        <w:rPr>
          <w:sz w:val="20"/>
          <w:szCs w:val="20"/>
        </w:rPr>
      </w:pPr>
    </w:p>
    <w:p w:rsidR="00862200" w:rsidRDefault="00862200" w:rsidP="008D18D7">
      <w:pPr>
        <w:pStyle w:val="Default"/>
        <w:rPr>
          <w:b/>
          <w:sz w:val="20"/>
          <w:szCs w:val="20"/>
        </w:rPr>
      </w:pPr>
    </w:p>
    <w:p w:rsidR="00862200" w:rsidRDefault="00862200" w:rsidP="008D18D7">
      <w:pPr>
        <w:pStyle w:val="Default"/>
        <w:rPr>
          <w:b/>
          <w:sz w:val="20"/>
          <w:szCs w:val="20"/>
        </w:rPr>
      </w:pPr>
    </w:p>
    <w:p w:rsidR="00862200" w:rsidRDefault="00862200" w:rsidP="008D18D7">
      <w:pPr>
        <w:pStyle w:val="Default"/>
        <w:rPr>
          <w:b/>
          <w:sz w:val="20"/>
          <w:szCs w:val="20"/>
        </w:rPr>
      </w:pPr>
    </w:p>
    <w:p w:rsidR="00862200" w:rsidRDefault="00862200" w:rsidP="008D18D7">
      <w:pPr>
        <w:pStyle w:val="Default"/>
        <w:rPr>
          <w:b/>
          <w:sz w:val="20"/>
          <w:szCs w:val="20"/>
        </w:rPr>
      </w:pPr>
    </w:p>
    <w:p w:rsidR="00862200" w:rsidRDefault="00862200" w:rsidP="008D18D7">
      <w:pPr>
        <w:pStyle w:val="Default"/>
        <w:rPr>
          <w:b/>
          <w:sz w:val="20"/>
          <w:szCs w:val="20"/>
        </w:rPr>
      </w:pPr>
    </w:p>
    <w:p w:rsidR="008D18D7" w:rsidRPr="00F861EB" w:rsidRDefault="008D18D7" w:rsidP="004C4760">
      <w:pPr>
        <w:rPr>
          <w:b/>
          <w:sz w:val="20"/>
          <w:szCs w:val="20"/>
        </w:rPr>
      </w:pPr>
      <w:r w:rsidRPr="00F861EB">
        <w:rPr>
          <w:b/>
          <w:sz w:val="20"/>
          <w:szCs w:val="20"/>
        </w:rPr>
        <w:lastRenderedPageBreak/>
        <w:t xml:space="preserve">Graf </w:t>
      </w:r>
      <w:r w:rsidR="00862200">
        <w:rPr>
          <w:b/>
          <w:sz w:val="20"/>
          <w:szCs w:val="20"/>
        </w:rPr>
        <w:t>7</w:t>
      </w:r>
      <w:r w:rsidRPr="00F861EB">
        <w:rPr>
          <w:b/>
          <w:sz w:val="20"/>
          <w:szCs w:val="20"/>
        </w:rPr>
        <w:t xml:space="preserve">: Ladijski pretovor (v </w:t>
      </w:r>
      <w:r w:rsidR="00F861EB" w:rsidRPr="00F861EB">
        <w:rPr>
          <w:b/>
          <w:sz w:val="20"/>
          <w:szCs w:val="20"/>
        </w:rPr>
        <w:t>milijonih ton</w:t>
      </w:r>
      <w:r w:rsidRPr="00F861EB">
        <w:rPr>
          <w:b/>
          <w:sz w:val="20"/>
          <w:szCs w:val="20"/>
        </w:rPr>
        <w:t>)</w:t>
      </w:r>
    </w:p>
    <w:p w:rsidR="00BA10D9" w:rsidRDefault="00F861EB" w:rsidP="00BA10D9">
      <w:pPr>
        <w:pStyle w:val="Default"/>
        <w:rPr>
          <w:sz w:val="20"/>
          <w:szCs w:val="20"/>
        </w:rPr>
      </w:pPr>
      <w:r w:rsidRPr="00F861EB">
        <w:rPr>
          <w:b/>
          <w:noProof/>
          <w:sz w:val="20"/>
          <w:szCs w:val="20"/>
        </w:rPr>
        <w:object w:dxaOrig="7182" w:dyaOrig="4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04.75pt" o:ole="">
            <v:imagedata r:id="rId14" o:title=""/>
          </v:shape>
          <o:OLEObject Type="Embed" ProgID="Excel.SheetMacroEnabled.12" ShapeID="_x0000_i1025" DrawAspect="Content" ObjectID="_1385977499" r:id="rId15"/>
        </w:object>
      </w:r>
      <w:r w:rsidR="00BA10D9" w:rsidRPr="00BA10D9">
        <w:rPr>
          <w:sz w:val="20"/>
          <w:szCs w:val="20"/>
        </w:rPr>
        <w:t xml:space="preserve"> </w:t>
      </w:r>
    </w:p>
    <w:p w:rsidR="00BA10D9" w:rsidRDefault="00BA10D9" w:rsidP="00BA10D9">
      <w:pPr>
        <w:pStyle w:val="Default"/>
        <w:rPr>
          <w:sz w:val="20"/>
          <w:szCs w:val="20"/>
        </w:rPr>
      </w:pPr>
    </w:p>
    <w:p w:rsidR="00BA10D9" w:rsidRPr="00F861EB" w:rsidRDefault="00BA10D9" w:rsidP="00BA10D9">
      <w:pPr>
        <w:pStyle w:val="Default"/>
        <w:rPr>
          <w:sz w:val="20"/>
          <w:szCs w:val="20"/>
        </w:rPr>
      </w:pPr>
      <w:r w:rsidRPr="00F861EB">
        <w:rPr>
          <w:sz w:val="20"/>
          <w:szCs w:val="20"/>
        </w:rPr>
        <w:t>Ladijski pretovor bo v letu 2012 predvidoma 17,8 milijona ton, kar je 6 odstotkov več od ocenjenega pretovora v letu 2011, ko naj bi ta znašal 16,8 milijona ton. Tudi v letu 2012 pričakujemo rast kontejnerskega prometa, vendar z nižjo stopnjo rasti kot v letu 2011.</w:t>
      </w:r>
    </w:p>
    <w:p w:rsidR="00F861EB" w:rsidRPr="00F861EB" w:rsidRDefault="00F861EB" w:rsidP="004C4760">
      <w:pPr>
        <w:rPr>
          <w:b/>
          <w:sz w:val="20"/>
          <w:szCs w:val="20"/>
        </w:rPr>
      </w:pPr>
    </w:p>
    <w:sectPr w:rsidR="00F861EB" w:rsidRPr="00F861EB" w:rsidSect="00FC6277"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1E8" w:rsidRDefault="006B61E8" w:rsidP="00F861EB">
      <w:r>
        <w:separator/>
      </w:r>
    </w:p>
  </w:endnote>
  <w:endnote w:type="continuationSeparator" w:id="0">
    <w:p w:rsidR="006B61E8" w:rsidRDefault="006B61E8" w:rsidP="00F86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10" w:rsidRPr="00FC6277" w:rsidRDefault="00FB2C10" w:rsidP="00FC6277">
    <w:pPr>
      <w:pStyle w:val="Footer"/>
      <w:pBdr>
        <w:bottom w:val="single" w:sz="4" w:space="1" w:color="auto"/>
      </w:pBdr>
      <w:rPr>
        <w:sz w:val="18"/>
        <w:szCs w:val="18"/>
      </w:rPr>
    </w:pPr>
    <w:r>
      <w:rPr>
        <w:noProof/>
        <w:sz w:val="18"/>
        <w:szCs w:val="18"/>
        <w:lang w:eastAsia="zh-CN"/>
      </w:rPr>
      <w:drawing>
        <wp:inline distT="0" distB="0" distL="0" distR="0">
          <wp:extent cx="1152525" cy="142875"/>
          <wp:effectExtent l="19050" t="0" r="9525" b="0"/>
          <wp:docPr id="2" name="Picture 2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C6277">
      <w:rPr>
        <w:sz w:val="18"/>
        <w:szCs w:val="18"/>
      </w:rPr>
      <w:t xml:space="preserve">                                                                                                       </w:t>
    </w:r>
    <w:r>
      <w:rPr>
        <w:sz w:val="18"/>
        <w:szCs w:val="18"/>
      </w:rPr>
      <w:t xml:space="preserve">                        </w:t>
    </w:r>
    <w:r w:rsidR="00590649" w:rsidRPr="00FC6277">
      <w:rPr>
        <w:sz w:val="18"/>
        <w:szCs w:val="18"/>
      </w:rPr>
      <w:fldChar w:fldCharType="begin"/>
    </w:r>
    <w:r w:rsidRPr="00FC6277">
      <w:rPr>
        <w:sz w:val="18"/>
        <w:szCs w:val="18"/>
      </w:rPr>
      <w:instrText xml:space="preserve"> PAGE   \* MERGEFORMAT </w:instrText>
    </w:r>
    <w:r w:rsidR="00590649" w:rsidRPr="00FC6277">
      <w:rPr>
        <w:sz w:val="18"/>
        <w:szCs w:val="18"/>
      </w:rPr>
      <w:fldChar w:fldCharType="separate"/>
    </w:r>
    <w:r w:rsidR="00C24667">
      <w:rPr>
        <w:noProof/>
        <w:sz w:val="18"/>
        <w:szCs w:val="18"/>
      </w:rPr>
      <w:t>2</w:t>
    </w:r>
    <w:r w:rsidR="00590649" w:rsidRPr="00FC6277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10" w:rsidRDefault="00FB2C10" w:rsidP="00807CE2">
    <w:pPr>
      <w:pStyle w:val="Footer"/>
      <w:pBdr>
        <w:bottom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1E8" w:rsidRDefault="006B61E8" w:rsidP="00F861EB">
      <w:r>
        <w:separator/>
      </w:r>
    </w:p>
  </w:footnote>
  <w:footnote w:type="continuationSeparator" w:id="0">
    <w:p w:rsidR="006B61E8" w:rsidRDefault="006B61E8" w:rsidP="00F86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10" w:rsidRDefault="00FB2C10" w:rsidP="00FC6277">
    <w:pPr>
      <w:pStyle w:val="Header"/>
      <w:pBdr>
        <w:bottom w:val="single" w:sz="4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1FF6"/>
    <w:rsid w:val="00026996"/>
    <w:rsid w:val="00047579"/>
    <w:rsid w:val="00113682"/>
    <w:rsid w:val="00114A1D"/>
    <w:rsid w:val="00126A2C"/>
    <w:rsid w:val="001B380D"/>
    <w:rsid w:val="002E3A6B"/>
    <w:rsid w:val="00310F90"/>
    <w:rsid w:val="00414895"/>
    <w:rsid w:val="00415232"/>
    <w:rsid w:val="00443214"/>
    <w:rsid w:val="00461F61"/>
    <w:rsid w:val="004775A3"/>
    <w:rsid w:val="004808AC"/>
    <w:rsid w:val="00482CE6"/>
    <w:rsid w:val="0048538F"/>
    <w:rsid w:val="004915D7"/>
    <w:rsid w:val="004B64C8"/>
    <w:rsid w:val="004C4760"/>
    <w:rsid w:val="004E5EC9"/>
    <w:rsid w:val="0050418F"/>
    <w:rsid w:val="005113D8"/>
    <w:rsid w:val="00581001"/>
    <w:rsid w:val="00590649"/>
    <w:rsid w:val="005D2554"/>
    <w:rsid w:val="006B61E8"/>
    <w:rsid w:val="007C0B15"/>
    <w:rsid w:val="007D1784"/>
    <w:rsid w:val="00807CE2"/>
    <w:rsid w:val="00852EDA"/>
    <w:rsid w:val="00862200"/>
    <w:rsid w:val="00883F90"/>
    <w:rsid w:val="008D18D7"/>
    <w:rsid w:val="008E5DEB"/>
    <w:rsid w:val="00905DDE"/>
    <w:rsid w:val="009575D2"/>
    <w:rsid w:val="00A35779"/>
    <w:rsid w:val="00A80794"/>
    <w:rsid w:val="00AF75BF"/>
    <w:rsid w:val="00B26FB0"/>
    <w:rsid w:val="00B52F32"/>
    <w:rsid w:val="00B83E9F"/>
    <w:rsid w:val="00B8457D"/>
    <w:rsid w:val="00BA10D9"/>
    <w:rsid w:val="00C24667"/>
    <w:rsid w:val="00C34E0C"/>
    <w:rsid w:val="00C63F14"/>
    <w:rsid w:val="00C81CBD"/>
    <w:rsid w:val="00CC2163"/>
    <w:rsid w:val="00CE5CA5"/>
    <w:rsid w:val="00CF0603"/>
    <w:rsid w:val="00D7595C"/>
    <w:rsid w:val="00D96B3B"/>
    <w:rsid w:val="00E11FF6"/>
    <w:rsid w:val="00E20435"/>
    <w:rsid w:val="00E87906"/>
    <w:rsid w:val="00E9389B"/>
    <w:rsid w:val="00EE0D8C"/>
    <w:rsid w:val="00F3215C"/>
    <w:rsid w:val="00F861EB"/>
    <w:rsid w:val="00F90694"/>
    <w:rsid w:val="00FA06B3"/>
    <w:rsid w:val="00FA673C"/>
    <w:rsid w:val="00FB2C10"/>
    <w:rsid w:val="00FC02A2"/>
    <w:rsid w:val="00FC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3D8"/>
    <w:rPr>
      <w:rFonts w:ascii="Tahoma" w:hAnsi="Tahoma"/>
      <w:sz w:val="22"/>
      <w:szCs w:val="22"/>
    </w:rPr>
  </w:style>
  <w:style w:type="paragraph" w:styleId="Heading1">
    <w:name w:val="heading 1"/>
    <w:basedOn w:val="Normal"/>
    <w:next w:val="Normal"/>
    <w:qFormat/>
    <w:rsid w:val="004C476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C476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C476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6FB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F861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861EB"/>
    <w:rPr>
      <w:rFonts w:ascii="Tahoma" w:hAnsi="Tahoma"/>
      <w:sz w:val="22"/>
      <w:szCs w:val="22"/>
      <w:lang w:eastAsia="sl-SI"/>
    </w:rPr>
  </w:style>
  <w:style w:type="paragraph" w:styleId="Footer">
    <w:name w:val="footer"/>
    <w:basedOn w:val="Normal"/>
    <w:link w:val="FooterChar"/>
    <w:uiPriority w:val="99"/>
    <w:rsid w:val="00F861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1EB"/>
    <w:rPr>
      <w:rFonts w:ascii="Tahoma" w:hAnsi="Tahoma"/>
      <w:sz w:val="22"/>
      <w:szCs w:val="22"/>
      <w:lang w:eastAsia="sl-SI"/>
    </w:rPr>
  </w:style>
  <w:style w:type="character" w:styleId="CommentReference">
    <w:name w:val="annotation reference"/>
    <w:basedOn w:val="DefaultParagraphFont"/>
    <w:rsid w:val="004915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5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5D7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491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5D7"/>
    <w:rPr>
      <w:b/>
      <w:bCs/>
    </w:rPr>
  </w:style>
  <w:style w:type="paragraph" w:styleId="BalloonText">
    <w:name w:val="Balloon Text"/>
    <w:basedOn w:val="Normal"/>
    <w:link w:val="BalloonTextChar"/>
    <w:rsid w:val="004915D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package" Target="embeddings/Microsoft_Office_Excel_Macro-Enabled_Worksheet1.xlsm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355F-0B33-4E35-83BE-E71B3FAC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Actual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sluzbapr1</dc:creator>
  <cp:keywords/>
  <dc:description/>
  <cp:lastModifiedBy>jazbect</cp:lastModifiedBy>
  <cp:revision>2</cp:revision>
  <dcterms:created xsi:type="dcterms:W3CDTF">2011-12-21T11:58:00Z</dcterms:created>
  <dcterms:modified xsi:type="dcterms:W3CDTF">2011-12-21T11:58:00Z</dcterms:modified>
</cp:coreProperties>
</file>