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EB" w:rsidRPr="00702A15" w:rsidRDefault="00F861EB" w:rsidP="00F861EB">
      <w:pPr>
        <w:jc w:val="center"/>
        <w:rPr>
          <w:b/>
          <w:sz w:val="24"/>
          <w:szCs w:val="24"/>
          <w:lang w:val="en-GB"/>
        </w:rPr>
      </w:pPr>
    </w:p>
    <w:p w:rsidR="00F861EB" w:rsidRPr="00702A15" w:rsidRDefault="00F861EB" w:rsidP="00F861EB">
      <w:pPr>
        <w:jc w:val="center"/>
        <w:rPr>
          <w:b/>
          <w:sz w:val="24"/>
          <w:szCs w:val="24"/>
          <w:lang w:val="en-GB"/>
        </w:rPr>
      </w:pPr>
    </w:p>
    <w:p w:rsidR="00F861EB" w:rsidRPr="00702A15" w:rsidRDefault="00F861EB" w:rsidP="00F861EB">
      <w:pPr>
        <w:jc w:val="center"/>
        <w:rPr>
          <w:b/>
          <w:sz w:val="24"/>
          <w:szCs w:val="24"/>
          <w:lang w:val="en-GB"/>
        </w:rPr>
      </w:pPr>
    </w:p>
    <w:p w:rsidR="00F861EB" w:rsidRPr="00702A15" w:rsidRDefault="00415D5D" w:rsidP="00F861EB">
      <w:pPr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eastAsia="zh-CN"/>
        </w:rPr>
        <w:drawing>
          <wp:inline distT="0" distB="0" distL="0" distR="0">
            <wp:extent cx="2192655" cy="787400"/>
            <wp:effectExtent l="19050" t="0" r="0" b="0"/>
            <wp:docPr id="1" name="Picture 1" descr="Logo LK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K 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F861EB" w:rsidRPr="00702A15" w:rsidRDefault="00F861EB" w:rsidP="004C4760">
      <w:pPr>
        <w:rPr>
          <w:b/>
          <w:sz w:val="24"/>
          <w:szCs w:val="24"/>
          <w:lang w:val="en-GB"/>
        </w:rPr>
      </w:pPr>
    </w:p>
    <w:p w:rsidR="00D138CE" w:rsidRDefault="00D138CE" w:rsidP="00D138CE">
      <w:pPr>
        <w:jc w:val="center"/>
        <w:rPr>
          <w:b/>
          <w:sz w:val="36"/>
          <w:szCs w:val="36"/>
          <w:lang w:val="en-GB"/>
        </w:rPr>
      </w:pPr>
      <w:r w:rsidRPr="00702A15">
        <w:rPr>
          <w:b/>
          <w:sz w:val="36"/>
          <w:szCs w:val="36"/>
          <w:lang w:val="en-GB"/>
        </w:rPr>
        <w:t xml:space="preserve">Business Plan </w:t>
      </w:r>
      <w:r>
        <w:rPr>
          <w:b/>
          <w:sz w:val="36"/>
          <w:szCs w:val="36"/>
          <w:lang w:val="en-GB"/>
        </w:rPr>
        <w:t>for</w:t>
      </w:r>
      <w:r w:rsidRPr="00702A15">
        <w:rPr>
          <w:b/>
          <w:sz w:val="36"/>
          <w:szCs w:val="36"/>
          <w:lang w:val="en-GB"/>
        </w:rPr>
        <w:t xml:space="preserve"> 2012</w:t>
      </w:r>
      <w:r w:rsidRPr="00D138CE">
        <w:rPr>
          <w:b/>
          <w:sz w:val="36"/>
          <w:szCs w:val="36"/>
          <w:lang w:val="en-GB"/>
        </w:rPr>
        <w:t xml:space="preserve"> </w:t>
      </w:r>
    </w:p>
    <w:p w:rsidR="00E11FF6" w:rsidRPr="00702A15" w:rsidRDefault="00E11FF6" w:rsidP="004C4760">
      <w:pPr>
        <w:rPr>
          <w:sz w:val="21"/>
          <w:szCs w:val="21"/>
          <w:lang w:val="en-GB"/>
        </w:rPr>
      </w:pPr>
    </w:p>
    <w:p w:rsidR="009C4236" w:rsidRDefault="009C4236" w:rsidP="00C17DF9">
      <w:pPr>
        <w:jc w:val="center"/>
        <w:rPr>
          <w:b/>
          <w:sz w:val="36"/>
          <w:szCs w:val="36"/>
          <w:lang w:val="en-GB"/>
        </w:rPr>
      </w:pPr>
    </w:p>
    <w:p w:rsidR="00C17DF9" w:rsidRDefault="00C46CD8" w:rsidP="00C17DF9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Summary</w:t>
      </w:r>
      <w:r w:rsidRPr="00702A15">
        <w:rPr>
          <w:b/>
          <w:sz w:val="36"/>
          <w:szCs w:val="36"/>
          <w:lang w:val="en-GB"/>
        </w:rPr>
        <w:t xml:space="preserve"> </w:t>
      </w: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F861EB" w:rsidRPr="00702A15" w:rsidRDefault="00F861EB" w:rsidP="004C4760">
      <w:pPr>
        <w:rPr>
          <w:sz w:val="21"/>
          <w:szCs w:val="21"/>
          <w:lang w:val="en-GB"/>
        </w:rPr>
      </w:pPr>
    </w:p>
    <w:p w:rsidR="005E4CDE" w:rsidRDefault="005E4CDE" w:rsidP="00C240D3">
      <w:pPr>
        <w:jc w:val="center"/>
        <w:rPr>
          <w:sz w:val="21"/>
          <w:szCs w:val="21"/>
          <w:lang w:val="en-GB"/>
        </w:rPr>
      </w:pPr>
    </w:p>
    <w:p w:rsidR="005E4CDE" w:rsidRDefault="005E4CDE" w:rsidP="00C240D3">
      <w:pPr>
        <w:jc w:val="center"/>
        <w:rPr>
          <w:sz w:val="21"/>
          <w:szCs w:val="21"/>
          <w:lang w:val="en-GB"/>
        </w:rPr>
      </w:pPr>
    </w:p>
    <w:p w:rsidR="00C240D3" w:rsidRPr="00702A15" w:rsidRDefault="00C240D3" w:rsidP="00C240D3">
      <w:pPr>
        <w:jc w:val="center"/>
        <w:rPr>
          <w:sz w:val="21"/>
          <w:szCs w:val="21"/>
          <w:lang w:val="en-GB"/>
        </w:rPr>
      </w:pPr>
      <w:r w:rsidRPr="00702A15">
        <w:rPr>
          <w:sz w:val="21"/>
          <w:szCs w:val="21"/>
          <w:lang w:val="en-GB"/>
        </w:rPr>
        <w:t>December 2011</w:t>
      </w:r>
    </w:p>
    <w:p w:rsidR="00414299" w:rsidRDefault="00414299" w:rsidP="00A13B33">
      <w:pPr>
        <w:rPr>
          <w:sz w:val="20"/>
          <w:szCs w:val="20"/>
          <w:lang w:val="en-GB"/>
        </w:rPr>
      </w:pPr>
    </w:p>
    <w:p w:rsidR="00A13B33" w:rsidRPr="00AB604C" w:rsidRDefault="002C4DD1" w:rsidP="00A13B33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The </w:t>
      </w:r>
      <w:r w:rsidRPr="00AB604C">
        <w:rPr>
          <w:sz w:val="20"/>
          <w:szCs w:val="20"/>
          <w:lang w:val="en-GB"/>
        </w:rPr>
        <w:t xml:space="preserve">Supervisory Board </w:t>
      </w:r>
      <w:r>
        <w:rPr>
          <w:sz w:val="20"/>
          <w:szCs w:val="20"/>
          <w:lang w:val="en-GB"/>
        </w:rPr>
        <w:t>confirmed a</w:t>
      </w:r>
      <w:r w:rsidR="00A13B33" w:rsidRPr="00AB604C">
        <w:rPr>
          <w:sz w:val="20"/>
          <w:szCs w:val="20"/>
          <w:lang w:val="en-GB"/>
        </w:rPr>
        <w:t xml:space="preserve">t </w:t>
      </w:r>
      <w:r>
        <w:rPr>
          <w:sz w:val="20"/>
          <w:szCs w:val="20"/>
          <w:lang w:val="en-GB"/>
        </w:rPr>
        <w:t>the</w:t>
      </w:r>
      <w:r w:rsidR="0085561A">
        <w:rPr>
          <w:sz w:val="20"/>
          <w:szCs w:val="20"/>
          <w:lang w:val="en-GB"/>
        </w:rPr>
        <w:t>ir</w:t>
      </w:r>
      <w:r>
        <w:rPr>
          <w:sz w:val="20"/>
          <w:szCs w:val="20"/>
          <w:lang w:val="en-GB"/>
        </w:rPr>
        <w:t xml:space="preserve"> </w:t>
      </w:r>
      <w:r w:rsidR="00A13B33" w:rsidRPr="00AB604C">
        <w:rPr>
          <w:sz w:val="20"/>
          <w:szCs w:val="20"/>
          <w:lang w:val="en-GB"/>
        </w:rPr>
        <w:t>session</w:t>
      </w:r>
      <w:r>
        <w:rPr>
          <w:sz w:val="20"/>
          <w:szCs w:val="20"/>
          <w:lang w:val="en-GB"/>
        </w:rPr>
        <w:t>,</w:t>
      </w:r>
      <w:r w:rsidR="00A13B33" w:rsidRPr="00AB604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held on December 20</w:t>
      </w:r>
      <w:r w:rsidR="005D0F22" w:rsidRPr="005D0F22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</w:t>
      </w:r>
      <w:r w:rsidR="00A13B33" w:rsidRPr="00AB604C">
        <w:rPr>
          <w:sz w:val="20"/>
          <w:szCs w:val="20"/>
          <w:lang w:val="en-GB"/>
        </w:rPr>
        <w:t xml:space="preserve">2011, </w:t>
      </w:r>
      <w:r>
        <w:rPr>
          <w:sz w:val="20"/>
          <w:szCs w:val="20"/>
          <w:lang w:val="en-GB"/>
        </w:rPr>
        <w:t xml:space="preserve">the supplemented </w:t>
      </w:r>
      <w:r w:rsidR="00A13B33" w:rsidRPr="00AB604C">
        <w:rPr>
          <w:sz w:val="20"/>
          <w:szCs w:val="20"/>
          <w:lang w:val="en-GB"/>
        </w:rPr>
        <w:t>business plan for 2012</w:t>
      </w:r>
      <w:r w:rsidR="00FC169C">
        <w:rPr>
          <w:sz w:val="20"/>
          <w:szCs w:val="20"/>
          <w:lang w:val="en-GB"/>
        </w:rPr>
        <w:t>.</w:t>
      </w:r>
      <w:r w:rsidR="00A13B33" w:rsidRPr="00AB604C">
        <w:rPr>
          <w:sz w:val="20"/>
          <w:szCs w:val="20"/>
          <w:lang w:val="en-GB"/>
        </w:rPr>
        <w:t xml:space="preserve"> Luka Koper Group </w:t>
      </w:r>
      <w:r>
        <w:rPr>
          <w:sz w:val="20"/>
          <w:szCs w:val="20"/>
          <w:lang w:val="en-GB"/>
        </w:rPr>
        <w:t xml:space="preserve">is planning </w:t>
      </w:r>
      <w:r w:rsidR="00A13B33" w:rsidRPr="00AB604C">
        <w:rPr>
          <w:sz w:val="20"/>
          <w:szCs w:val="20"/>
          <w:lang w:val="en-GB"/>
        </w:rPr>
        <w:t xml:space="preserve">operating revenues in the amount of 150.4 million </w:t>
      </w:r>
      <w:proofErr w:type="spellStart"/>
      <w:r w:rsidR="00A13B33" w:rsidRPr="00AB604C">
        <w:rPr>
          <w:sz w:val="20"/>
          <w:szCs w:val="20"/>
          <w:lang w:val="en-GB"/>
        </w:rPr>
        <w:t>euros</w:t>
      </w:r>
      <w:proofErr w:type="spellEnd"/>
      <w:r w:rsidR="00FC169C">
        <w:rPr>
          <w:sz w:val="20"/>
          <w:szCs w:val="20"/>
          <w:lang w:val="en-GB"/>
        </w:rPr>
        <w:t xml:space="preserve"> </w:t>
      </w:r>
      <w:r w:rsidR="00414299">
        <w:rPr>
          <w:sz w:val="20"/>
          <w:szCs w:val="20"/>
          <w:lang w:val="en-GB"/>
        </w:rPr>
        <w:t xml:space="preserve">and </w:t>
      </w:r>
      <w:r w:rsidR="00FC169C">
        <w:rPr>
          <w:sz w:val="20"/>
          <w:szCs w:val="20"/>
          <w:lang w:val="en-GB"/>
        </w:rPr>
        <w:t>exceed</w:t>
      </w:r>
      <w:r w:rsidR="00414299">
        <w:rPr>
          <w:sz w:val="20"/>
          <w:szCs w:val="20"/>
          <w:lang w:val="en-GB"/>
        </w:rPr>
        <w:t>ing</w:t>
      </w:r>
      <w:r w:rsidR="00FC169C">
        <w:rPr>
          <w:sz w:val="20"/>
          <w:szCs w:val="20"/>
          <w:lang w:val="en-GB"/>
        </w:rPr>
        <w:t xml:space="preserve"> this year estimate by 6 percent. </w:t>
      </w:r>
      <w:r w:rsidR="00A13B33" w:rsidRPr="00AB604C">
        <w:rPr>
          <w:sz w:val="20"/>
          <w:szCs w:val="20"/>
          <w:lang w:val="en-GB"/>
        </w:rPr>
        <w:t xml:space="preserve">Luka Koper </w:t>
      </w:r>
      <w:proofErr w:type="gramStart"/>
      <w:r w:rsidR="00A13B33" w:rsidRPr="00AB604C">
        <w:rPr>
          <w:sz w:val="20"/>
          <w:szCs w:val="20"/>
          <w:lang w:val="en-GB"/>
        </w:rPr>
        <w:t>d.d</w:t>
      </w:r>
      <w:proofErr w:type="gramEnd"/>
      <w:r w:rsidR="00A13B33" w:rsidRPr="00AB604C">
        <w:rPr>
          <w:sz w:val="20"/>
          <w:szCs w:val="20"/>
          <w:lang w:val="en-GB"/>
        </w:rPr>
        <w:t xml:space="preserve">. will generate 140.8 million </w:t>
      </w:r>
      <w:proofErr w:type="spellStart"/>
      <w:r w:rsidR="00A13B33" w:rsidRPr="00AB604C">
        <w:rPr>
          <w:sz w:val="20"/>
          <w:szCs w:val="20"/>
          <w:lang w:val="en-GB"/>
        </w:rPr>
        <w:t>euros</w:t>
      </w:r>
      <w:proofErr w:type="spellEnd"/>
      <w:r w:rsidR="00FC169C">
        <w:rPr>
          <w:sz w:val="20"/>
          <w:szCs w:val="20"/>
          <w:lang w:val="en-GB"/>
        </w:rPr>
        <w:t>.</w:t>
      </w:r>
      <w:r w:rsidR="00A13B33" w:rsidRPr="00AB604C">
        <w:rPr>
          <w:sz w:val="20"/>
          <w:szCs w:val="20"/>
          <w:lang w:val="en-GB"/>
        </w:rPr>
        <w:t xml:space="preserve"> </w:t>
      </w:r>
      <w:r w:rsidR="00C43560" w:rsidRPr="00AB604C">
        <w:rPr>
          <w:sz w:val="20"/>
          <w:szCs w:val="20"/>
          <w:lang w:val="en-GB"/>
        </w:rPr>
        <w:t>Again, t</w:t>
      </w:r>
      <w:r w:rsidR="00A13B33" w:rsidRPr="00AB604C">
        <w:rPr>
          <w:sz w:val="20"/>
          <w:szCs w:val="20"/>
          <w:lang w:val="en-GB"/>
        </w:rPr>
        <w:t xml:space="preserve">he largest growth in operating revenues is </w:t>
      </w:r>
      <w:r w:rsidR="004F1E6A" w:rsidRPr="00AB604C">
        <w:rPr>
          <w:sz w:val="20"/>
          <w:szCs w:val="20"/>
          <w:lang w:val="en-GB"/>
        </w:rPr>
        <w:t>anticipated</w:t>
      </w:r>
      <w:r w:rsidR="00A13B33" w:rsidRPr="00AB604C">
        <w:rPr>
          <w:sz w:val="20"/>
          <w:szCs w:val="20"/>
          <w:lang w:val="en-GB"/>
        </w:rPr>
        <w:t xml:space="preserve"> in </w:t>
      </w:r>
      <w:r w:rsidR="004F1E6A" w:rsidRPr="00AB604C">
        <w:rPr>
          <w:sz w:val="20"/>
          <w:szCs w:val="20"/>
          <w:lang w:val="en-GB"/>
        </w:rPr>
        <w:t xml:space="preserve">the </w:t>
      </w:r>
      <w:r w:rsidR="00A13B33" w:rsidRPr="00AB604C">
        <w:rPr>
          <w:sz w:val="20"/>
          <w:szCs w:val="20"/>
          <w:lang w:val="en-GB"/>
        </w:rPr>
        <w:t xml:space="preserve">container </w:t>
      </w:r>
      <w:r w:rsidR="004F1E6A" w:rsidRPr="00AB604C">
        <w:rPr>
          <w:sz w:val="20"/>
          <w:szCs w:val="20"/>
          <w:lang w:val="en-GB"/>
        </w:rPr>
        <w:t xml:space="preserve">freight </w:t>
      </w:r>
      <w:r w:rsidR="00A13B33" w:rsidRPr="00AB604C">
        <w:rPr>
          <w:sz w:val="20"/>
          <w:szCs w:val="20"/>
          <w:lang w:val="en-GB"/>
        </w:rPr>
        <w:t xml:space="preserve">segment. </w:t>
      </w:r>
    </w:p>
    <w:p w:rsidR="00A13B33" w:rsidRPr="00702A15" w:rsidRDefault="00A13B33" w:rsidP="00EE0D8C">
      <w:pPr>
        <w:rPr>
          <w:sz w:val="20"/>
          <w:szCs w:val="20"/>
          <w:lang w:val="en-GB"/>
        </w:rPr>
      </w:pPr>
    </w:p>
    <w:p w:rsidR="00EE0D8C" w:rsidRPr="00702A15" w:rsidRDefault="00EE0D8C" w:rsidP="004C4760">
      <w:pPr>
        <w:rPr>
          <w:b/>
          <w:sz w:val="20"/>
          <w:szCs w:val="20"/>
          <w:lang w:val="en-GB"/>
        </w:rPr>
      </w:pPr>
    </w:p>
    <w:p w:rsidR="00B52F32" w:rsidRPr="00702A15" w:rsidRDefault="00A13B33" w:rsidP="004C4760">
      <w:pPr>
        <w:rPr>
          <w:b/>
          <w:sz w:val="20"/>
          <w:szCs w:val="20"/>
          <w:lang w:val="en-GB"/>
        </w:rPr>
      </w:pPr>
      <w:r w:rsidRPr="00702A15">
        <w:rPr>
          <w:b/>
          <w:sz w:val="20"/>
          <w:szCs w:val="20"/>
          <w:lang w:val="en-GB"/>
        </w:rPr>
        <w:t>Figure</w:t>
      </w:r>
      <w:r w:rsidR="00B52F32" w:rsidRPr="00702A15">
        <w:rPr>
          <w:b/>
          <w:sz w:val="20"/>
          <w:szCs w:val="20"/>
          <w:lang w:val="en-GB"/>
        </w:rPr>
        <w:t xml:space="preserve"> 1: </w:t>
      </w:r>
      <w:r w:rsidRPr="00702A15">
        <w:rPr>
          <w:b/>
          <w:sz w:val="20"/>
          <w:szCs w:val="20"/>
          <w:lang w:val="en-GB"/>
        </w:rPr>
        <w:t>Operating revenues</w:t>
      </w:r>
      <w:r w:rsidR="00B52F32" w:rsidRPr="00702A15">
        <w:rPr>
          <w:b/>
          <w:sz w:val="20"/>
          <w:szCs w:val="20"/>
          <w:lang w:val="en-GB"/>
        </w:rPr>
        <w:t xml:space="preserve"> (</w:t>
      </w:r>
      <w:r w:rsidRPr="00702A15">
        <w:rPr>
          <w:b/>
          <w:sz w:val="20"/>
          <w:szCs w:val="20"/>
          <w:lang w:val="en-GB"/>
        </w:rPr>
        <w:t>in million</w:t>
      </w:r>
      <w:r w:rsidR="00B52F32" w:rsidRPr="00702A15">
        <w:rPr>
          <w:b/>
          <w:sz w:val="20"/>
          <w:szCs w:val="20"/>
          <w:lang w:val="en-GB"/>
        </w:rPr>
        <w:t xml:space="preserve"> </w:t>
      </w:r>
      <w:r w:rsidRPr="00702A15">
        <w:rPr>
          <w:b/>
          <w:sz w:val="20"/>
          <w:szCs w:val="20"/>
          <w:lang w:val="en-GB"/>
        </w:rPr>
        <w:t>eur</w:t>
      </w:r>
      <w:r w:rsidR="004F1E6A">
        <w:rPr>
          <w:b/>
          <w:sz w:val="20"/>
          <w:szCs w:val="20"/>
          <w:lang w:val="en-GB"/>
        </w:rPr>
        <w:t>os</w:t>
      </w:r>
      <w:r w:rsidR="00B52F32" w:rsidRPr="00702A15">
        <w:rPr>
          <w:b/>
          <w:sz w:val="20"/>
          <w:szCs w:val="20"/>
          <w:lang w:val="en-GB"/>
        </w:rPr>
        <w:t>)</w:t>
      </w:r>
    </w:p>
    <w:p w:rsidR="00B52F32" w:rsidRDefault="00B52F32" w:rsidP="00F90694">
      <w:pPr>
        <w:rPr>
          <w:sz w:val="20"/>
          <w:szCs w:val="20"/>
          <w:lang w:val="en-GB"/>
        </w:rPr>
      </w:pPr>
    </w:p>
    <w:p w:rsidR="00B910BD" w:rsidRDefault="00B910BD" w:rsidP="00F90694">
      <w:pPr>
        <w:rPr>
          <w:sz w:val="20"/>
          <w:szCs w:val="20"/>
          <w:lang w:val="en-GB"/>
        </w:rPr>
      </w:pPr>
    </w:p>
    <w:p w:rsidR="004A359B" w:rsidRDefault="004A359B" w:rsidP="00F90694">
      <w:pPr>
        <w:rPr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4919345" cy="2599055"/>
            <wp:effectExtent l="19050" t="0" r="0" b="0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0BD" w:rsidRPr="00702A15" w:rsidRDefault="00B910BD" w:rsidP="00F90694">
      <w:pPr>
        <w:rPr>
          <w:sz w:val="20"/>
          <w:szCs w:val="20"/>
          <w:lang w:val="en-GB"/>
        </w:rPr>
      </w:pP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4A359B" w:rsidRDefault="004A359B" w:rsidP="004C4760">
      <w:pPr>
        <w:rPr>
          <w:b/>
          <w:sz w:val="20"/>
          <w:szCs w:val="20"/>
          <w:lang w:val="en-GB"/>
        </w:rPr>
      </w:pPr>
    </w:p>
    <w:p w:rsidR="00B52F32" w:rsidRDefault="00A13B33" w:rsidP="004C4760">
      <w:pPr>
        <w:rPr>
          <w:b/>
          <w:sz w:val="20"/>
          <w:szCs w:val="20"/>
          <w:lang w:val="en-GB"/>
        </w:rPr>
      </w:pPr>
      <w:r w:rsidRPr="00702A15">
        <w:rPr>
          <w:b/>
          <w:sz w:val="20"/>
          <w:szCs w:val="20"/>
          <w:lang w:val="en-GB"/>
        </w:rPr>
        <w:t>Figure 2</w:t>
      </w:r>
      <w:r w:rsidR="00B52F32" w:rsidRPr="00702A15">
        <w:rPr>
          <w:b/>
          <w:sz w:val="20"/>
          <w:szCs w:val="20"/>
          <w:lang w:val="en-GB"/>
        </w:rPr>
        <w:t xml:space="preserve">: </w:t>
      </w:r>
      <w:r w:rsidRPr="00702A15">
        <w:rPr>
          <w:b/>
          <w:sz w:val="20"/>
          <w:szCs w:val="20"/>
          <w:lang w:val="en-GB"/>
        </w:rPr>
        <w:t xml:space="preserve">Operating profit </w:t>
      </w:r>
      <w:r w:rsidR="00F90694" w:rsidRPr="00702A15">
        <w:rPr>
          <w:b/>
          <w:sz w:val="20"/>
          <w:szCs w:val="20"/>
          <w:lang w:val="en-GB"/>
        </w:rPr>
        <w:t xml:space="preserve">- </w:t>
      </w:r>
      <w:r w:rsidR="00B52F32" w:rsidRPr="00702A15">
        <w:rPr>
          <w:b/>
          <w:sz w:val="20"/>
          <w:szCs w:val="20"/>
          <w:lang w:val="en-GB"/>
        </w:rPr>
        <w:t>EBIT (</w:t>
      </w:r>
      <w:r w:rsidRPr="00702A15">
        <w:rPr>
          <w:b/>
          <w:sz w:val="20"/>
          <w:szCs w:val="20"/>
          <w:lang w:val="en-GB"/>
        </w:rPr>
        <w:t>in million eur</w:t>
      </w:r>
      <w:r w:rsidR="004F1E6A">
        <w:rPr>
          <w:b/>
          <w:sz w:val="20"/>
          <w:szCs w:val="20"/>
          <w:lang w:val="en-GB"/>
        </w:rPr>
        <w:t>os</w:t>
      </w:r>
      <w:r w:rsidR="00B52F32" w:rsidRPr="00702A15">
        <w:rPr>
          <w:b/>
          <w:sz w:val="20"/>
          <w:szCs w:val="20"/>
          <w:lang w:val="en-GB"/>
        </w:rPr>
        <w:t>)</w:t>
      </w:r>
    </w:p>
    <w:p w:rsidR="004A359B" w:rsidRDefault="004A359B" w:rsidP="004C4760">
      <w:pPr>
        <w:rPr>
          <w:b/>
          <w:sz w:val="20"/>
          <w:szCs w:val="20"/>
          <w:lang w:val="en-GB"/>
        </w:rPr>
      </w:pPr>
    </w:p>
    <w:p w:rsidR="004A359B" w:rsidRDefault="004A359B" w:rsidP="004C4760">
      <w:pPr>
        <w:rPr>
          <w:b/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4919345" cy="2599055"/>
            <wp:effectExtent l="19050" t="0" r="0" b="0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573" w:rsidRDefault="00021573" w:rsidP="004C4760">
      <w:pPr>
        <w:rPr>
          <w:b/>
          <w:sz w:val="20"/>
          <w:szCs w:val="20"/>
          <w:lang w:val="en-GB"/>
        </w:rPr>
      </w:pPr>
    </w:p>
    <w:p w:rsidR="00021573" w:rsidRDefault="00021573" w:rsidP="004C4760">
      <w:pPr>
        <w:rPr>
          <w:szCs w:val="20"/>
        </w:rPr>
      </w:pPr>
    </w:p>
    <w:p w:rsidR="00000000" w:rsidRDefault="00A13B33">
      <w:pPr>
        <w:pStyle w:val="Default"/>
        <w:rPr>
          <w:sz w:val="20"/>
          <w:szCs w:val="20"/>
          <w:lang w:val="en-GB"/>
        </w:rPr>
      </w:pPr>
      <w:r w:rsidRPr="00AB604C">
        <w:rPr>
          <w:sz w:val="20"/>
          <w:szCs w:val="20"/>
          <w:lang w:val="en-GB"/>
        </w:rPr>
        <w:t>Luka Koper Grou</w:t>
      </w:r>
      <w:r w:rsidR="004F1E6A" w:rsidRPr="00AB604C">
        <w:rPr>
          <w:sz w:val="20"/>
          <w:szCs w:val="20"/>
          <w:lang w:val="en-GB"/>
        </w:rPr>
        <w:t>p</w:t>
      </w:r>
      <w:r w:rsidRPr="00AB604C">
        <w:rPr>
          <w:sz w:val="20"/>
          <w:szCs w:val="20"/>
          <w:lang w:val="en-GB"/>
        </w:rPr>
        <w:t xml:space="preserve"> earnings before interest and taxes </w:t>
      </w:r>
      <w:r w:rsidR="00C43560" w:rsidRPr="00AB604C">
        <w:rPr>
          <w:sz w:val="20"/>
          <w:szCs w:val="20"/>
          <w:lang w:val="en-GB"/>
        </w:rPr>
        <w:t xml:space="preserve">are </w:t>
      </w:r>
      <w:r w:rsidR="00FC169C">
        <w:rPr>
          <w:sz w:val="20"/>
          <w:szCs w:val="20"/>
          <w:lang w:val="en-GB"/>
        </w:rPr>
        <w:t xml:space="preserve">planned in the </w:t>
      </w:r>
      <w:r w:rsidRPr="00AB604C">
        <w:rPr>
          <w:sz w:val="20"/>
          <w:szCs w:val="20"/>
          <w:lang w:val="en-GB"/>
        </w:rPr>
        <w:t xml:space="preserve">amount </w:t>
      </w:r>
      <w:r w:rsidR="00FC169C">
        <w:rPr>
          <w:sz w:val="20"/>
          <w:szCs w:val="20"/>
          <w:lang w:val="en-GB"/>
        </w:rPr>
        <w:t>of</w:t>
      </w:r>
      <w:r w:rsidRPr="00AB604C">
        <w:rPr>
          <w:sz w:val="20"/>
          <w:szCs w:val="20"/>
          <w:lang w:val="en-GB"/>
        </w:rPr>
        <w:t xml:space="preserve"> 23.4 million </w:t>
      </w:r>
      <w:proofErr w:type="spellStart"/>
      <w:r w:rsidRPr="00AB604C">
        <w:rPr>
          <w:sz w:val="20"/>
          <w:szCs w:val="20"/>
          <w:lang w:val="en-GB"/>
        </w:rPr>
        <w:t>eur</w:t>
      </w:r>
      <w:r w:rsidR="00702A15" w:rsidRPr="00AB604C">
        <w:rPr>
          <w:sz w:val="20"/>
          <w:szCs w:val="20"/>
          <w:lang w:val="en-GB"/>
        </w:rPr>
        <w:t>os</w:t>
      </w:r>
      <w:proofErr w:type="spellEnd"/>
      <w:r w:rsidR="00C43560" w:rsidRPr="00AB604C">
        <w:rPr>
          <w:sz w:val="20"/>
          <w:szCs w:val="20"/>
          <w:lang w:val="en-GB"/>
        </w:rPr>
        <w:t xml:space="preserve"> in 2012</w:t>
      </w:r>
      <w:r w:rsidR="00554C78">
        <w:rPr>
          <w:sz w:val="20"/>
          <w:szCs w:val="20"/>
          <w:lang w:val="en-GB"/>
        </w:rPr>
        <w:t xml:space="preserve"> and exceed</w:t>
      </w:r>
      <w:r w:rsidR="00FC169C">
        <w:rPr>
          <w:sz w:val="20"/>
          <w:szCs w:val="20"/>
          <w:lang w:val="en-GB"/>
        </w:rPr>
        <w:t xml:space="preserve"> this year estimate for 10 percent. </w:t>
      </w:r>
      <w:r w:rsidRPr="00AB604C">
        <w:rPr>
          <w:sz w:val="20"/>
          <w:szCs w:val="20"/>
          <w:lang w:val="en-GB"/>
        </w:rPr>
        <w:t xml:space="preserve">The parent company </w:t>
      </w:r>
      <w:r w:rsidR="00C43560" w:rsidRPr="00AB604C">
        <w:rPr>
          <w:sz w:val="20"/>
          <w:szCs w:val="20"/>
          <w:lang w:val="en-GB"/>
        </w:rPr>
        <w:t xml:space="preserve">is expected to </w:t>
      </w:r>
      <w:r w:rsidRPr="00AB604C">
        <w:rPr>
          <w:sz w:val="20"/>
          <w:szCs w:val="20"/>
          <w:lang w:val="en-GB"/>
        </w:rPr>
        <w:t>generate operating profit in the amount of 20.5 million euros</w:t>
      </w:r>
      <w:r w:rsidR="004F1E6A" w:rsidRPr="00AB604C">
        <w:rPr>
          <w:sz w:val="20"/>
          <w:szCs w:val="20"/>
          <w:lang w:val="en-GB"/>
        </w:rPr>
        <w:t>,</w:t>
      </w:r>
      <w:r w:rsidRPr="00AB604C">
        <w:rPr>
          <w:sz w:val="20"/>
          <w:szCs w:val="20"/>
          <w:lang w:val="en-GB"/>
        </w:rPr>
        <w:t xml:space="preserve"> </w:t>
      </w:r>
      <w:r w:rsidR="00FC169C">
        <w:rPr>
          <w:sz w:val="20"/>
          <w:szCs w:val="20"/>
          <w:lang w:val="en-GB"/>
        </w:rPr>
        <w:t xml:space="preserve">exceeding 2011 estimate by 14 percent. </w:t>
      </w:r>
      <w:r w:rsidR="00AE08D8" w:rsidRPr="00AB604C">
        <w:rPr>
          <w:sz w:val="20"/>
          <w:szCs w:val="20"/>
          <w:lang w:val="en-GB"/>
        </w:rPr>
        <w:t xml:space="preserve">Due to </w:t>
      </w:r>
      <w:r w:rsidR="006C2461" w:rsidRPr="00AB604C">
        <w:rPr>
          <w:sz w:val="20"/>
          <w:szCs w:val="20"/>
          <w:lang w:val="en-GB"/>
        </w:rPr>
        <w:t xml:space="preserve">the </w:t>
      </w:r>
      <w:r w:rsidR="00702A15" w:rsidRPr="00AB604C">
        <w:rPr>
          <w:sz w:val="20"/>
          <w:szCs w:val="20"/>
          <w:lang w:val="en-GB"/>
        </w:rPr>
        <w:t>relatively</w:t>
      </w:r>
      <w:r w:rsidR="00AE08D8" w:rsidRPr="00AB604C">
        <w:rPr>
          <w:sz w:val="20"/>
          <w:szCs w:val="20"/>
          <w:lang w:val="en-GB"/>
        </w:rPr>
        <w:t xml:space="preserve"> unfavourable macroeconomic forecasts </w:t>
      </w:r>
      <w:r w:rsidR="006C2461" w:rsidRPr="00AB604C">
        <w:rPr>
          <w:sz w:val="20"/>
          <w:szCs w:val="20"/>
          <w:lang w:val="en-GB"/>
        </w:rPr>
        <w:t>for</w:t>
      </w:r>
      <w:r w:rsidR="00AE08D8" w:rsidRPr="00AB604C">
        <w:rPr>
          <w:sz w:val="20"/>
          <w:szCs w:val="20"/>
          <w:lang w:val="en-GB"/>
        </w:rPr>
        <w:t xml:space="preserve"> the key hinterland markets</w:t>
      </w:r>
      <w:r w:rsidR="009C4236" w:rsidRPr="00AB604C">
        <w:rPr>
          <w:sz w:val="20"/>
          <w:szCs w:val="20"/>
          <w:lang w:val="en-GB"/>
        </w:rPr>
        <w:t>,</w:t>
      </w:r>
      <w:r w:rsidR="00AE08D8" w:rsidRPr="00AB604C">
        <w:rPr>
          <w:sz w:val="20"/>
          <w:szCs w:val="20"/>
          <w:lang w:val="en-GB"/>
        </w:rPr>
        <w:t xml:space="preserve"> </w:t>
      </w:r>
      <w:r w:rsidR="005D0F22" w:rsidRPr="005D0F22">
        <w:rPr>
          <w:sz w:val="20"/>
          <w:szCs w:val="20"/>
          <w:lang w:val="en-GB"/>
        </w:rPr>
        <w:t xml:space="preserve">operating profitability in terms of </w:t>
      </w:r>
      <w:r w:rsidR="00554C78">
        <w:rPr>
          <w:sz w:val="20"/>
          <w:szCs w:val="20"/>
          <w:lang w:val="en-GB"/>
        </w:rPr>
        <w:t xml:space="preserve">ROS is expected to grow </w:t>
      </w:r>
      <w:r w:rsidR="009C4236" w:rsidRPr="00FC169C">
        <w:rPr>
          <w:sz w:val="20"/>
          <w:szCs w:val="20"/>
          <w:lang w:val="en-GB"/>
        </w:rPr>
        <w:t>at a slower</w:t>
      </w:r>
      <w:r w:rsidR="009C4236" w:rsidRPr="00AB604C">
        <w:rPr>
          <w:sz w:val="20"/>
          <w:szCs w:val="20"/>
          <w:lang w:val="en-GB"/>
        </w:rPr>
        <w:t xml:space="preserve"> rate than before.</w:t>
      </w:r>
    </w:p>
    <w:p w:rsidR="00A13B33" w:rsidRDefault="00A13B33" w:rsidP="0050418F">
      <w:pPr>
        <w:rPr>
          <w:sz w:val="20"/>
          <w:szCs w:val="20"/>
          <w:lang w:val="en-GB"/>
        </w:rPr>
      </w:pPr>
    </w:p>
    <w:p w:rsidR="0050418F" w:rsidRDefault="00AE08D8" w:rsidP="0050418F">
      <w:pPr>
        <w:autoSpaceDE w:val="0"/>
        <w:autoSpaceDN w:val="0"/>
        <w:adjustRightInd w:val="0"/>
        <w:rPr>
          <w:rFonts w:cs="Tahoma"/>
          <w:b/>
          <w:sz w:val="20"/>
          <w:szCs w:val="20"/>
          <w:lang w:val="en-GB"/>
        </w:rPr>
      </w:pPr>
      <w:r w:rsidRPr="00702A15">
        <w:rPr>
          <w:rFonts w:cs="Tahoma"/>
          <w:b/>
          <w:sz w:val="20"/>
          <w:szCs w:val="20"/>
          <w:lang w:val="en-GB"/>
        </w:rPr>
        <w:lastRenderedPageBreak/>
        <w:t>Figure</w:t>
      </w:r>
      <w:r w:rsidR="0050418F" w:rsidRPr="00702A15">
        <w:rPr>
          <w:rFonts w:cs="Tahoma"/>
          <w:b/>
          <w:sz w:val="20"/>
          <w:szCs w:val="20"/>
          <w:lang w:val="en-GB"/>
        </w:rPr>
        <w:t xml:space="preserve"> 3: </w:t>
      </w:r>
      <w:r w:rsidRPr="00702A15">
        <w:rPr>
          <w:rFonts w:cs="Tahoma"/>
          <w:b/>
          <w:sz w:val="20"/>
          <w:szCs w:val="20"/>
          <w:lang w:val="en-GB"/>
        </w:rPr>
        <w:t>Earnings before tax</w:t>
      </w:r>
      <w:r w:rsidR="006C2461">
        <w:rPr>
          <w:rFonts w:cs="Tahoma"/>
          <w:b/>
          <w:sz w:val="20"/>
          <w:szCs w:val="20"/>
          <w:lang w:val="en-GB"/>
        </w:rPr>
        <w:t>ation</w:t>
      </w:r>
      <w:r w:rsidRPr="00702A15">
        <w:rPr>
          <w:rFonts w:cs="Tahoma"/>
          <w:b/>
          <w:sz w:val="20"/>
          <w:szCs w:val="20"/>
          <w:lang w:val="en-GB"/>
        </w:rPr>
        <w:t xml:space="preserve">, </w:t>
      </w:r>
      <w:r w:rsidR="00702A15" w:rsidRPr="00702A15">
        <w:rPr>
          <w:rFonts w:cs="Tahoma"/>
          <w:b/>
          <w:sz w:val="20"/>
          <w:szCs w:val="20"/>
          <w:lang w:val="en-GB"/>
        </w:rPr>
        <w:t>depreciation</w:t>
      </w:r>
      <w:r w:rsidRPr="00702A15">
        <w:rPr>
          <w:rFonts w:cs="Tahoma"/>
          <w:b/>
          <w:sz w:val="20"/>
          <w:szCs w:val="20"/>
          <w:lang w:val="en-GB"/>
        </w:rPr>
        <w:t xml:space="preserve"> and amortisation </w:t>
      </w:r>
      <w:r w:rsidR="00FC169C">
        <w:rPr>
          <w:rFonts w:cs="Tahoma"/>
          <w:b/>
          <w:sz w:val="20"/>
          <w:szCs w:val="20"/>
          <w:lang w:val="en-GB"/>
        </w:rPr>
        <w:t xml:space="preserve">– EBITDA </w:t>
      </w:r>
      <w:r w:rsidRPr="00702A15">
        <w:rPr>
          <w:rFonts w:cs="Tahoma"/>
          <w:b/>
          <w:sz w:val="20"/>
          <w:szCs w:val="20"/>
          <w:lang w:val="en-GB"/>
        </w:rPr>
        <w:t>(in million eur</w:t>
      </w:r>
      <w:r w:rsidR="006C2461">
        <w:rPr>
          <w:rFonts w:cs="Tahoma"/>
          <w:b/>
          <w:sz w:val="20"/>
          <w:szCs w:val="20"/>
          <w:lang w:val="en-GB"/>
        </w:rPr>
        <w:t>os</w:t>
      </w:r>
      <w:r w:rsidRPr="00702A15">
        <w:rPr>
          <w:rFonts w:cs="Tahoma"/>
          <w:b/>
          <w:sz w:val="20"/>
          <w:szCs w:val="20"/>
          <w:lang w:val="en-GB"/>
        </w:rPr>
        <w:t xml:space="preserve">) </w:t>
      </w:r>
    </w:p>
    <w:p w:rsidR="001026A1" w:rsidRDefault="001026A1" w:rsidP="0050418F">
      <w:pPr>
        <w:autoSpaceDE w:val="0"/>
        <w:autoSpaceDN w:val="0"/>
        <w:adjustRightInd w:val="0"/>
        <w:rPr>
          <w:rFonts w:cs="Tahoma"/>
          <w:b/>
          <w:sz w:val="20"/>
          <w:szCs w:val="20"/>
          <w:lang w:val="en-GB"/>
        </w:rPr>
      </w:pPr>
    </w:p>
    <w:p w:rsidR="004A359B" w:rsidRDefault="004A359B" w:rsidP="0050418F">
      <w:pPr>
        <w:autoSpaceDE w:val="0"/>
        <w:autoSpaceDN w:val="0"/>
        <w:adjustRightInd w:val="0"/>
        <w:rPr>
          <w:rFonts w:cs="Tahoma"/>
          <w:b/>
          <w:sz w:val="20"/>
          <w:szCs w:val="20"/>
          <w:lang w:val="en-GB"/>
        </w:rPr>
      </w:pPr>
    </w:p>
    <w:p w:rsidR="004A359B" w:rsidRDefault="004A359B" w:rsidP="0050418F">
      <w:pPr>
        <w:autoSpaceDE w:val="0"/>
        <w:autoSpaceDN w:val="0"/>
        <w:adjustRightInd w:val="0"/>
        <w:rPr>
          <w:rFonts w:cs="Tahoma"/>
          <w:b/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4326255" cy="2599055"/>
            <wp:effectExtent l="19050" t="0" r="0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A1" w:rsidRPr="00702A15" w:rsidRDefault="001026A1" w:rsidP="0050418F">
      <w:pPr>
        <w:autoSpaceDE w:val="0"/>
        <w:autoSpaceDN w:val="0"/>
        <w:adjustRightInd w:val="0"/>
        <w:rPr>
          <w:rFonts w:cs="Tahoma"/>
          <w:b/>
          <w:bCs/>
          <w:sz w:val="20"/>
          <w:szCs w:val="20"/>
          <w:lang w:val="en-GB" w:eastAsia="zh-CN"/>
        </w:rPr>
      </w:pPr>
    </w:p>
    <w:p w:rsidR="00F90694" w:rsidRPr="00702A15" w:rsidRDefault="00F90694" w:rsidP="0050418F">
      <w:pPr>
        <w:autoSpaceDE w:val="0"/>
        <w:autoSpaceDN w:val="0"/>
        <w:adjustRightInd w:val="0"/>
        <w:rPr>
          <w:rFonts w:cs="Tahoma"/>
          <w:b/>
          <w:bCs/>
          <w:sz w:val="20"/>
          <w:szCs w:val="20"/>
          <w:lang w:val="en-GB" w:eastAsia="zh-CN"/>
        </w:rPr>
      </w:pPr>
    </w:p>
    <w:p w:rsidR="004A359B" w:rsidRPr="004A359B" w:rsidRDefault="00C43560" w:rsidP="004C4760">
      <w:pPr>
        <w:rPr>
          <w:sz w:val="20"/>
          <w:szCs w:val="20"/>
          <w:lang w:val="en-GB"/>
        </w:rPr>
      </w:pPr>
      <w:r w:rsidRPr="00AB604C">
        <w:rPr>
          <w:sz w:val="20"/>
          <w:szCs w:val="20"/>
          <w:lang w:val="en-GB"/>
        </w:rPr>
        <w:t>In 2012, t</w:t>
      </w:r>
      <w:r w:rsidR="00AE08D8" w:rsidRPr="00AB604C">
        <w:rPr>
          <w:sz w:val="20"/>
          <w:szCs w:val="20"/>
          <w:lang w:val="en-GB"/>
        </w:rPr>
        <w:t>he Luka Koper Group is expected to generate 52.0 million euros in earnings before interest, taxes, depreciation and amortization (EBIT</w:t>
      </w:r>
      <w:r w:rsidR="00554C78">
        <w:rPr>
          <w:sz w:val="20"/>
          <w:szCs w:val="20"/>
          <w:lang w:val="en-GB"/>
        </w:rPr>
        <w:t>D</w:t>
      </w:r>
      <w:r w:rsidR="00AE08D8" w:rsidRPr="00AB604C">
        <w:rPr>
          <w:sz w:val="20"/>
          <w:szCs w:val="20"/>
          <w:lang w:val="en-GB"/>
        </w:rPr>
        <w:t xml:space="preserve">A), of which </w:t>
      </w:r>
      <w:r w:rsidR="006C2461" w:rsidRPr="00AB604C">
        <w:rPr>
          <w:sz w:val="20"/>
          <w:szCs w:val="20"/>
          <w:lang w:val="en-GB"/>
        </w:rPr>
        <w:t xml:space="preserve">Luka Koper </w:t>
      </w:r>
      <w:proofErr w:type="gramStart"/>
      <w:r w:rsidR="006C2461" w:rsidRPr="00AB604C">
        <w:rPr>
          <w:sz w:val="20"/>
          <w:szCs w:val="20"/>
          <w:lang w:val="en-GB"/>
        </w:rPr>
        <w:t>d.d</w:t>
      </w:r>
      <w:proofErr w:type="gramEnd"/>
      <w:r w:rsidR="006C2461" w:rsidRPr="00AB604C">
        <w:rPr>
          <w:sz w:val="20"/>
          <w:szCs w:val="20"/>
          <w:lang w:val="en-GB"/>
        </w:rPr>
        <w:t>.</w:t>
      </w:r>
      <w:r w:rsidR="00AE08D8" w:rsidRPr="00AB604C">
        <w:rPr>
          <w:sz w:val="20"/>
          <w:szCs w:val="20"/>
          <w:lang w:val="en-GB"/>
        </w:rPr>
        <w:t xml:space="preserve"> will account for 47.2 million </w:t>
      </w:r>
      <w:proofErr w:type="spellStart"/>
      <w:r w:rsidR="00AE08D8" w:rsidRPr="00AB604C">
        <w:rPr>
          <w:sz w:val="20"/>
          <w:szCs w:val="20"/>
          <w:lang w:val="en-GB"/>
        </w:rPr>
        <w:t>euros</w:t>
      </w:r>
      <w:proofErr w:type="spellEnd"/>
      <w:r w:rsidR="00AE08D8" w:rsidRPr="00AB604C">
        <w:rPr>
          <w:sz w:val="20"/>
          <w:szCs w:val="20"/>
          <w:lang w:val="en-GB"/>
        </w:rPr>
        <w:t>.</w:t>
      </w: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50418F" w:rsidRDefault="00AE08D8" w:rsidP="004C4760">
      <w:pPr>
        <w:rPr>
          <w:b/>
          <w:sz w:val="20"/>
          <w:szCs w:val="20"/>
          <w:lang w:val="en-GB"/>
        </w:rPr>
      </w:pPr>
      <w:r w:rsidRPr="00702A15">
        <w:rPr>
          <w:b/>
          <w:sz w:val="20"/>
          <w:szCs w:val="20"/>
          <w:lang w:val="en-GB"/>
        </w:rPr>
        <w:t>Figure</w:t>
      </w:r>
      <w:r w:rsidR="0050418F" w:rsidRPr="00702A15">
        <w:rPr>
          <w:b/>
          <w:sz w:val="20"/>
          <w:szCs w:val="20"/>
          <w:lang w:val="en-GB"/>
        </w:rPr>
        <w:t xml:space="preserve"> 4: </w:t>
      </w:r>
      <w:r w:rsidRPr="00702A15">
        <w:rPr>
          <w:b/>
          <w:sz w:val="20"/>
          <w:szCs w:val="20"/>
          <w:lang w:val="en-GB"/>
        </w:rPr>
        <w:t>Net profit</w:t>
      </w:r>
      <w:r w:rsidR="0050418F" w:rsidRPr="00702A15">
        <w:rPr>
          <w:b/>
          <w:sz w:val="20"/>
          <w:szCs w:val="20"/>
          <w:lang w:val="en-GB"/>
        </w:rPr>
        <w:t xml:space="preserve"> (</w:t>
      </w:r>
      <w:r w:rsidRPr="00702A15">
        <w:rPr>
          <w:b/>
          <w:sz w:val="20"/>
          <w:szCs w:val="20"/>
          <w:lang w:val="en-GB"/>
        </w:rPr>
        <w:t>in million eur</w:t>
      </w:r>
      <w:r w:rsidR="006C2461">
        <w:rPr>
          <w:b/>
          <w:sz w:val="20"/>
          <w:szCs w:val="20"/>
          <w:lang w:val="en-GB"/>
        </w:rPr>
        <w:t>os</w:t>
      </w:r>
      <w:r w:rsidR="0050418F" w:rsidRPr="00702A15">
        <w:rPr>
          <w:b/>
          <w:sz w:val="20"/>
          <w:szCs w:val="20"/>
          <w:lang w:val="en-GB"/>
        </w:rPr>
        <w:t>)</w:t>
      </w:r>
    </w:p>
    <w:p w:rsidR="004A359B" w:rsidRDefault="004A359B" w:rsidP="004C4760">
      <w:pPr>
        <w:rPr>
          <w:b/>
          <w:sz w:val="20"/>
          <w:szCs w:val="20"/>
          <w:lang w:val="en-GB"/>
        </w:rPr>
      </w:pPr>
    </w:p>
    <w:p w:rsidR="004A359B" w:rsidRPr="00702A15" w:rsidRDefault="004A359B" w:rsidP="004C4760">
      <w:pPr>
        <w:rPr>
          <w:b/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4919345" cy="2599055"/>
            <wp:effectExtent l="19050" t="0" r="0" b="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4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18F" w:rsidRDefault="0050418F" w:rsidP="004C4760">
      <w:pPr>
        <w:rPr>
          <w:sz w:val="20"/>
          <w:szCs w:val="20"/>
          <w:lang w:val="en-GB"/>
        </w:rPr>
      </w:pPr>
    </w:p>
    <w:p w:rsidR="001026A1" w:rsidRDefault="001026A1" w:rsidP="004C4760">
      <w:pPr>
        <w:rPr>
          <w:sz w:val="20"/>
          <w:szCs w:val="20"/>
          <w:lang w:val="en-GB"/>
        </w:rPr>
      </w:pPr>
    </w:p>
    <w:p w:rsidR="00076808" w:rsidRPr="00AB604C" w:rsidRDefault="007D46D0" w:rsidP="00076808">
      <w:pPr>
        <w:rPr>
          <w:sz w:val="20"/>
          <w:szCs w:val="20"/>
          <w:lang w:val="en-GB"/>
        </w:rPr>
      </w:pPr>
      <w:r w:rsidRPr="00AB604C">
        <w:rPr>
          <w:sz w:val="20"/>
          <w:szCs w:val="20"/>
          <w:lang w:val="en-GB"/>
        </w:rPr>
        <w:t>Group n</w:t>
      </w:r>
      <w:r w:rsidR="00AE08D8" w:rsidRPr="00AB604C">
        <w:rPr>
          <w:sz w:val="20"/>
          <w:szCs w:val="20"/>
          <w:lang w:val="en-GB"/>
        </w:rPr>
        <w:t xml:space="preserve">et profit </w:t>
      </w:r>
      <w:r w:rsidR="00702A15" w:rsidRPr="00AB604C">
        <w:rPr>
          <w:sz w:val="20"/>
          <w:szCs w:val="20"/>
          <w:lang w:val="en-GB"/>
        </w:rPr>
        <w:t xml:space="preserve">is </w:t>
      </w:r>
      <w:r w:rsidR="00554C78">
        <w:rPr>
          <w:sz w:val="20"/>
          <w:szCs w:val="20"/>
          <w:lang w:val="en-GB"/>
        </w:rPr>
        <w:t xml:space="preserve">planned in the amount of </w:t>
      </w:r>
      <w:r w:rsidR="00702A15" w:rsidRPr="00AB604C">
        <w:rPr>
          <w:sz w:val="20"/>
          <w:szCs w:val="20"/>
          <w:lang w:val="en-GB"/>
        </w:rPr>
        <w:t xml:space="preserve">13.6 million </w:t>
      </w:r>
      <w:proofErr w:type="spellStart"/>
      <w:r w:rsidR="00702A15" w:rsidRPr="00AB604C">
        <w:rPr>
          <w:sz w:val="20"/>
          <w:szCs w:val="20"/>
          <w:lang w:val="en-GB"/>
        </w:rPr>
        <w:t>e</w:t>
      </w:r>
      <w:r w:rsidR="00AE08D8" w:rsidRPr="00AB604C">
        <w:rPr>
          <w:sz w:val="20"/>
          <w:szCs w:val="20"/>
          <w:lang w:val="en-GB"/>
        </w:rPr>
        <w:t>uros</w:t>
      </w:r>
      <w:proofErr w:type="spellEnd"/>
      <w:r w:rsidRPr="00AB604C">
        <w:rPr>
          <w:sz w:val="20"/>
          <w:szCs w:val="20"/>
          <w:lang w:val="en-GB"/>
        </w:rPr>
        <w:t xml:space="preserve">, </w:t>
      </w:r>
      <w:r w:rsidR="00AE08D8" w:rsidRPr="00AB604C">
        <w:rPr>
          <w:sz w:val="20"/>
          <w:szCs w:val="20"/>
          <w:lang w:val="en-GB"/>
        </w:rPr>
        <w:t xml:space="preserve">of which the parent company will </w:t>
      </w:r>
      <w:r w:rsidR="00702A15" w:rsidRPr="00415D5D">
        <w:rPr>
          <w:sz w:val="20"/>
          <w:szCs w:val="20"/>
          <w:lang w:val="en-GB"/>
        </w:rPr>
        <w:t>account</w:t>
      </w:r>
      <w:r w:rsidR="00AE08D8" w:rsidRPr="00415D5D">
        <w:rPr>
          <w:sz w:val="20"/>
          <w:szCs w:val="20"/>
          <w:lang w:val="en-GB"/>
        </w:rPr>
        <w:t xml:space="preserve"> for 11.4 million euros. </w:t>
      </w:r>
      <w:r w:rsidR="00415D5D" w:rsidRPr="00415D5D">
        <w:rPr>
          <w:sz w:val="20"/>
          <w:szCs w:val="20"/>
          <w:lang w:val="en-GB"/>
        </w:rPr>
        <w:t xml:space="preserve">2012 performance is </w:t>
      </w:r>
      <w:r w:rsidR="00554C78">
        <w:rPr>
          <w:sz w:val="20"/>
          <w:szCs w:val="20"/>
          <w:lang w:val="en-GB"/>
        </w:rPr>
        <w:t xml:space="preserve">planned </w:t>
      </w:r>
      <w:r w:rsidR="00415D5D" w:rsidRPr="00415D5D">
        <w:rPr>
          <w:sz w:val="20"/>
          <w:szCs w:val="20"/>
          <w:lang w:val="en-GB"/>
        </w:rPr>
        <w:t xml:space="preserve">to </w:t>
      </w:r>
      <w:r w:rsidR="0085561A">
        <w:rPr>
          <w:sz w:val="20"/>
          <w:szCs w:val="20"/>
          <w:lang w:val="en-GB"/>
        </w:rPr>
        <w:t xml:space="preserve">exceed </w:t>
      </w:r>
      <w:r w:rsidR="00554C78">
        <w:rPr>
          <w:sz w:val="20"/>
          <w:szCs w:val="20"/>
          <w:lang w:val="en-GB"/>
        </w:rPr>
        <w:t xml:space="preserve">this year’s estimate </w:t>
      </w:r>
      <w:r w:rsidR="00415D5D" w:rsidRPr="00415D5D">
        <w:rPr>
          <w:sz w:val="20"/>
          <w:szCs w:val="20"/>
          <w:lang w:val="en-GB"/>
        </w:rPr>
        <w:t xml:space="preserve">where additional impairment </w:t>
      </w:r>
      <w:r w:rsidR="00415D5D">
        <w:rPr>
          <w:sz w:val="20"/>
          <w:szCs w:val="20"/>
          <w:lang w:val="en-GB"/>
        </w:rPr>
        <w:t>of</w:t>
      </w:r>
      <w:r w:rsidR="00415D5D" w:rsidRPr="00415D5D">
        <w:rPr>
          <w:sz w:val="20"/>
          <w:szCs w:val="20"/>
          <w:lang w:val="en-GB"/>
        </w:rPr>
        <w:t xml:space="preserve"> financial investments in Intereuropa </w:t>
      </w:r>
      <w:proofErr w:type="gramStart"/>
      <w:r w:rsidR="00415D5D" w:rsidRPr="00415D5D">
        <w:rPr>
          <w:sz w:val="20"/>
          <w:szCs w:val="20"/>
          <w:lang w:val="en-GB"/>
        </w:rPr>
        <w:t>d.d</w:t>
      </w:r>
      <w:proofErr w:type="gramEnd"/>
      <w:r w:rsidR="00415D5D" w:rsidRPr="00415D5D">
        <w:rPr>
          <w:sz w:val="20"/>
          <w:szCs w:val="20"/>
          <w:lang w:val="en-GB"/>
        </w:rPr>
        <w:t>.</w:t>
      </w:r>
      <w:r w:rsidR="00415D5D">
        <w:rPr>
          <w:sz w:val="20"/>
          <w:szCs w:val="20"/>
          <w:lang w:val="en-GB"/>
        </w:rPr>
        <w:t xml:space="preserve"> </w:t>
      </w:r>
      <w:r w:rsidR="0085561A">
        <w:rPr>
          <w:sz w:val="20"/>
          <w:szCs w:val="20"/>
          <w:lang w:val="en-GB"/>
        </w:rPr>
        <w:t>is included</w:t>
      </w:r>
      <w:r w:rsidR="00415D5D" w:rsidRPr="00415D5D">
        <w:rPr>
          <w:sz w:val="20"/>
          <w:szCs w:val="20"/>
          <w:lang w:val="en-GB"/>
        </w:rPr>
        <w:t xml:space="preserve">. </w:t>
      </w:r>
      <w:r w:rsidRPr="00415D5D">
        <w:rPr>
          <w:sz w:val="20"/>
          <w:szCs w:val="20"/>
          <w:lang w:val="en-GB"/>
        </w:rPr>
        <w:t>E</w:t>
      </w:r>
      <w:r w:rsidR="00076808" w:rsidRPr="00415D5D">
        <w:rPr>
          <w:sz w:val="20"/>
          <w:szCs w:val="20"/>
          <w:lang w:val="en-GB"/>
        </w:rPr>
        <w:t>stimated</w:t>
      </w:r>
      <w:r w:rsidR="00076808" w:rsidRPr="00AB604C">
        <w:rPr>
          <w:sz w:val="20"/>
          <w:szCs w:val="20"/>
          <w:lang w:val="en-GB"/>
        </w:rPr>
        <w:t xml:space="preserve"> </w:t>
      </w:r>
      <w:r w:rsidRPr="00AB604C">
        <w:rPr>
          <w:sz w:val="20"/>
          <w:szCs w:val="20"/>
          <w:lang w:val="en-GB"/>
        </w:rPr>
        <w:t xml:space="preserve">Group </w:t>
      </w:r>
      <w:r w:rsidR="00076808" w:rsidRPr="00AB604C">
        <w:rPr>
          <w:sz w:val="20"/>
          <w:szCs w:val="20"/>
          <w:lang w:val="en-GB"/>
        </w:rPr>
        <w:t>net profit in 2011 amounts to 0.3 million euros</w:t>
      </w:r>
      <w:r w:rsidRPr="00AB604C">
        <w:rPr>
          <w:sz w:val="20"/>
          <w:szCs w:val="20"/>
          <w:lang w:val="en-GB"/>
        </w:rPr>
        <w:t>,</w:t>
      </w:r>
      <w:r w:rsidR="00076808" w:rsidRPr="00AB604C">
        <w:rPr>
          <w:sz w:val="20"/>
          <w:szCs w:val="20"/>
          <w:lang w:val="en-GB"/>
        </w:rPr>
        <w:t xml:space="preserve"> whereas </w:t>
      </w:r>
      <w:r w:rsidRPr="00AB604C">
        <w:rPr>
          <w:sz w:val="20"/>
          <w:szCs w:val="20"/>
          <w:lang w:val="en-GB"/>
        </w:rPr>
        <w:t>Luka Koper d.d.</w:t>
      </w:r>
      <w:r w:rsidR="00702A15" w:rsidRPr="00AB604C">
        <w:rPr>
          <w:sz w:val="20"/>
          <w:szCs w:val="20"/>
          <w:lang w:val="en-GB"/>
        </w:rPr>
        <w:t xml:space="preserve"> will generate</w:t>
      </w:r>
      <w:r w:rsidR="00076808" w:rsidRPr="00AB604C">
        <w:rPr>
          <w:sz w:val="20"/>
          <w:szCs w:val="20"/>
          <w:lang w:val="en-GB"/>
        </w:rPr>
        <w:t xml:space="preserve"> a loss in the amount of 1.7 million euros.</w:t>
      </w:r>
    </w:p>
    <w:p w:rsidR="00AE08D8" w:rsidRPr="00AB604C" w:rsidRDefault="00AE08D8" w:rsidP="004C4760">
      <w:pPr>
        <w:rPr>
          <w:sz w:val="20"/>
          <w:szCs w:val="20"/>
          <w:lang w:val="en-GB"/>
        </w:rPr>
      </w:pPr>
    </w:p>
    <w:p w:rsidR="00496681" w:rsidRDefault="00496681" w:rsidP="004A359B">
      <w:pPr>
        <w:rPr>
          <w:sz w:val="20"/>
          <w:szCs w:val="20"/>
          <w:lang w:val="en-GB"/>
        </w:rPr>
      </w:pPr>
    </w:p>
    <w:p w:rsidR="00496681" w:rsidRDefault="00496681" w:rsidP="004A359B">
      <w:pPr>
        <w:rPr>
          <w:sz w:val="20"/>
          <w:szCs w:val="20"/>
          <w:lang w:val="en-GB"/>
        </w:rPr>
      </w:pPr>
    </w:p>
    <w:p w:rsidR="00B83E9F" w:rsidRPr="004A359B" w:rsidRDefault="00AE08D8" w:rsidP="004A359B">
      <w:pPr>
        <w:rPr>
          <w:sz w:val="20"/>
          <w:szCs w:val="20"/>
          <w:lang w:val="en-GB"/>
        </w:rPr>
      </w:pPr>
      <w:r w:rsidRPr="00702A15">
        <w:rPr>
          <w:sz w:val="20"/>
          <w:szCs w:val="20"/>
          <w:lang w:val="en-GB"/>
        </w:rPr>
        <w:lastRenderedPageBreak/>
        <w:t xml:space="preserve"> </w:t>
      </w:r>
      <w:r w:rsidR="00076808" w:rsidRPr="00702A15">
        <w:rPr>
          <w:b/>
          <w:sz w:val="20"/>
          <w:szCs w:val="20"/>
          <w:lang w:val="en-GB"/>
        </w:rPr>
        <w:t>Figure</w:t>
      </w:r>
      <w:r w:rsidR="008D18D7" w:rsidRPr="00702A15">
        <w:rPr>
          <w:b/>
          <w:sz w:val="20"/>
          <w:szCs w:val="20"/>
          <w:lang w:val="en-GB"/>
        </w:rPr>
        <w:t xml:space="preserve"> 5: </w:t>
      </w:r>
      <w:r w:rsidR="00FC6277" w:rsidRPr="00702A15">
        <w:rPr>
          <w:b/>
          <w:sz w:val="20"/>
          <w:szCs w:val="20"/>
          <w:lang w:val="en-GB"/>
        </w:rPr>
        <w:t xml:space="preserve"> </w:t>
      </w:r>
      <w:r w:rsidR="00076808" w:rsidRPr="00702A15">
        <w:rPr>
          <w:b/>
          <w:sz w:val="20"/>
          <w:szCs w:val="20"/>
          <w:lang w:val="en-GB"/>
        </w:rPr>
        <w:t>Net financial debt /</w:t>
      </w:r>
      <w:r w:rsidR="008D18D7" w:rsidRPr="00702A15">
        <w:rPr>
          <w:b/>
          <w:sz w:val="20"/>
          <w:szCs w:val="20"/>
          <w:lang w:val="en-GB"/>
        </w:rPr>
        <w:t xml:space="preserve"> EBITDA</w:t>
      </w:r>
      <w:r w:rsidR="00FC6277" w:rsidRPr="00702A15">
        <w:rPr>
          <w:b/>
          <w:sz w:val="20"/>
          <w:szCs w:val="20"/>
          <w:lang w:val="en-GB"/>
        </w:rPr>
        <w:t xml:space="preserve"> </w:t>
      </w:r>
      <w:r w:rsidR="00076808" w:rsidRPr="00702A15">
        <w:rPr>
          <w:b/>
          <w:sz w:val="20"/>
          <w:szCs w:val="20"/>
          <w:lang w:val="en-GB"/>
        </w:rPr>
        <w:t xml:space="preserve">ratio </w:t>
      </w:r>
      <w:r w:rsidR="007D46D0">
        <w:rPr>
          <w:b/>
          <w:sz w:val="20"/>
          <w:szCs w:val="20"/>
          <w:lang w:val="en-GB"/>
        </w:rPr>
        <w:t xml:space="preserve">for the </w:t>
      </w:r>
      <w:r w:rsidR="00FC6277" w:rsidRPr="00702A15">
        <w:rPr>
          <w:b/>
          <w:sz w:val="20"/>
          <w:szCs w:val="20"/>
          <w:lang w:val="en-GB"/>
        </w:rPr>
        <w:t>Luka Koper</w:t>
      </w:r>
      <w:r w:rsidR="00076808" w:rsidRPr="00702A15">
        <w:rPr>
          <w:b/>
          <w:sz w:val="20"/>
          <w:szCs w:val="20"/>
          <w:lang w:val="en-GB"/>
        </w:rPr>
        <w:t xml:space="preserve"> Group</w:t>
      </w:r>
    </w:p>
    <w:p w:rsidR="00AB604C" w:rsidRDefault="00AB604C" w:rsidP="00B26FB0">
      <w:pPr>
        <w:pStyle w:val="Default"/>
        <w:rPr>
          <w:b/>
          <w:sz w:val="20"/>
          <w:szCs w:val="20"/>
          <w:lang w:val="en-GB"/>
        </w:rPr>
      </w:pPr>
    </w:p>
    <w:p w:rsidR="004A359B" w:rsidRDefault="004A359B" w:rsidP="00B26FB0">
      <w:pPr>
        <w:pStyle w:val="Default"/>
        <w:rPr>
          <w:b/>
          <w:sz w:val="20"/>
          <w:szCs w:val="20"/>
          <w:lang w:val="en-GB"/>
        </w:rPr>
      </w:pPr>
    </w:p>
    <w:p w:rsidR="004A359B" w:rsidRDefault="004A359B" w:rsidP="00B26FB0">
      <w:pPr>
        <w:pStyle w:val="Default"/>
        <w:rPr>
          <w:b/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5012055" cy="2599055"/>
            <wp:effectExtent l="19050" t="0" r="0" b="0"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A1" w:rsidRDefault="001026A1" w:rsidP="00B26FB0">
      <w:pPr>
        <w:pStyle w:val="Default"/>
        <w:rPr>
          <w:b/>
          <w:sz w:val="20"/>
          <w:szCs w:val="20"/>
          <w:lang w:val="en-GB"/>
        </w:rPr>
      </w:pPr>
    </w:p>
    <w:p w:rsidR="001026A1" w:rsidRDefault="001026A1" w:rsidP="00B26FB0">
      <w:pPr>
        <w:pStyle w:val="Default"/>
        <w:rPr>
          <w:b/>
          <w:sz w:val="20"/>
          <w:szCs w:val="20"/>
          <w:lang w:val="en-GB"/>
        </w:rPr>
      </w:pPr>
    </w:p>
    <w:p w:rsidR="00496681" w:rsidRDefault="00496681" w:rsidP="00B26FB0">
      <w:pPr>
        <w:pStyle w:val="Default"/>
        <w:rPr>
          <w:b/>
          <w:sz w:val="20"/>
          <w:szCs w:val="20"/>
          <w:lang w:val="en-GB"/>
        </w:rPr>
      </w:pPr>
    </w:p>
    <w:p w:rsidR="001B00E1" w:rsidRDefault="001B00E1" w:rsidP="008D18D7">
      <w:pPr>
        <w:pStyle w:val="Default"/>
        <w:rPr>
          <w:b/>
          <w:sz w:val="20"/>
          <w:szCs w:val="20"/>
          <w:lang w:val="en-GB"/>
        </w:rPr>
      </w:pPr>
      <w:r w:rsidRPr="00702A15">
        <w:rPr>
          <w:b/>
          <w:sz w:val="20"/>
          <w:szCs w:val="20"/>
          <w:lang w:val="en-GB"/>
        </w:rPr>
        <w:t>Figure</w:t>
      </w:r>
      <w:r w:rsidR="00862200" w:rsidRPr="00702A15">
        <w:rPr>
          <w:b/>
          <w:sz w:val="20"/>
          <w:szCs w:val="20"/>
          <w:lang w:val="en-GB"/>
        </w:rPr>
        <w:t xml:space="preserve"> 6: </w:t>
      </w:r>
      <w:r w:rsidRPr="00702A15">
        <w:rPr>
          <w:b/>
          <w:sz w:val="20"/>
          <w:szCs w:val="20"/>
          <w:lang w:val="en-GB"/>
        </w:rPr>
        <w:t xml:space="preserve">Investments in intangible and tangible fixed assets </w:t>
      </w:r>
    </w:p>
    <w:p w:rsidR="00B910BD" w:rsidRDefault="00B910BD" w:rsidP="008D18D7">
      <w:pPr>
        <w:pStyle w:val="Default"/>
        <w:rPr>
          <w:b/>
          <w:sz w:val="20"/>
          <w:szCs w:val="20"/>
          <w:lang w:val="en-GB"/>
        </w:rPr>
      </w:pPr>
    </w:p>
    <w:p w:rsidR="004A359B" w:rsidRDefault="004A359B" w:rsidP="008D18D7">
      <w:pPr>
        <w:pStyle w:val="Default"/>
        <w:rPr>
          <w:b/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4326255" cy="2599055"/>
            <wp:effectExtent l="19050" t="0" r="0" b="0"/>
            <wp:docPr id="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0BD" w:rsidRDefault="00B910BD" w:rsidP="008D18D7">
      <w:pPr>
        <w:pStyle w:val="Default"/>
        <w:rPr>
          <w:b/>
          <w:sz w:val="20"/>
          <w:szCs w:val="20"/>
          <w:lang w:val="en-GB"/>
        </w:rPr>
      </w:pPr>
    </w:p>
    <w:p w:rsidR="00B910BD" w:rsidRDefault="00B910BD" w:rsidP="008D18D7">
      <w:pPr>
        <w:pStyle w:val="Default"/>
        <w:rPr>
          <w:b/>
          <w:sz w:val="20"/>
          <w:szCs w:val="20"/>
          <w:lang w:val="en-GB"/>
        </w:rPr>
      </w:pPr>
    </w:p>
    <w:p w:rsidR="001026A1" w:rsidRDefault="001026A1" w:rsidP="008D18D7">
      <w:pPr>
        <w:pStyle w:val="Default"/>
        <w:rPr>
          <w:b/>
          <w:sz w:val="20"/>
          <w:szCs w:val="20"/>
          <w:lang w:val="en-GB"/>
        </w:rPr>
      </w:pPr>
    </w:p>
    <w:p w:rsidR="001B00E1" w:rsidRPr="00AB604C" w:rsidRDefault="001B00E1" w:rsidP="001B00E1">
      <w:pPr>
        <w:pStyle w:val="Default"/>
        <w:rPr>
          <w:sz w:val="20"/>
          <w:szCs w:val="20"/>
          <w:lang w:val="en-GB"/>
        </w:rPr>
      </w:pPr>
      <w:r w:rsidRPr="00AB604C">
        <w:rPr>
          <w:sz w:val="20"/>
          <w:szCs w:val="20"/>
          <w:lang w:val="en-GB"/>
        </w:rPr>
        <w:t xml:space="preserve">In 2012, the LK Group is </w:t>
      </w:r>
      <w:r w:rsidR="0085561A">
        <w:rPr>
          <w:sz w:val="20"/>
          <w:szCs w:val="20"/>
          <w:lang w:val="en-GB"/>
        </w:rPr>
        <w:t>planning</w:t>
      </w:r>
      <w:r w:rsidR="0085561A" w:rsidRPr="00AB604C">
        <w:rPr>
          <w:sz w:val="20"/>
          <w:szCs w:val="20"/>
          <w:lang w:val="en-GB"/>
        </w:rPr>
        <w:t xml:space="preserve"> </w:t>
      </w:r>
      <w:r w:rsidRPr="00AB604C">
        <w:rPr>
          <w:sz w:val="20"/>
          <w:szCs w:val="20"/>
          <w:lang w:val="en-GB"/>
        </w:rPr>
        <w:t>investments in intangible and tangible fixed assets in the amount of 35 million euros</w:t>
      </w:r>
      <w:r w:rsidR="007D46D0" w:rsidRPr="00AB604C">
        <w:rPr>
          <w:sz w:val="20"/>
          <w:szCs w:val="20"/>
          <w:lang w:val="en-GB"/>
        </w:rPr>
        <w:t>,</w:t>
      </w:r>
      <w:r w:rsidRPr="00AB604C">
        <w:rPr>
          <w:sz w:val="20"/>
          <w:szCs w:val="20"/>
          <w:lang w:val="en-GB"/>
        </w:rPr>
        <w:t xml:space="preserve"> which </w:t>
      </w:r>
      <w:r w:rsidR="0085561A">
        <w:rPr>
          <w:sz w:val="20"/>
          <w:szCs w:val="20"/>
          <w:lang w:val="en-GB"/>
        </w:rPr>
        <w:t xml:space="preserve">exceeds this year estimate by 80 </w:t>
      </w:r>
      <w:r w:rsidRPr="00AB604C">
        <w:rPr>
          <w:sz w:val="20"/>
          <w:szCs w:val="20"/>
          <w:lang w:val="en-GB"/>
        </w:rPr>
        <w:t>percent</w:t>
      </w:r>
      <w:r w:rsidR="005E4CDE">
        <w:rPr>
          <w:sz w:val="20"/>
          <w:szCs w:val="20"/>
          <w:lang w:val="en-GB"/>
        </w:rPr>
        <w:t>.</w:t>
      </w:r>
      <w:r w:rsidRPr="00AB604C">
        <w:rPr>
          <w:sz w:val="20"/>
          <w:szCs w:val="20"/>
          <w:lang w:val="en-GB"/>
        </w:rPr>
        <w:t xml:space="preserve"> </w:t>
      </w:r>
      <w:r w:rsidR="00C43560" w:rsidRPr="00AB604C">
        <w:rPr>
          <w:sz w:val="20"/>
          <w:szCs w:val="20"/>
          <w:lang w:val="en-GB"/>
        </w:rPr>
        <w:t>The m</w:t>
      </w:r>
      <w:r w:rsidRPr="00AB604C">
        <w:rPr>
          <w:sz w:val="20"/>
          <w:szCs w:val="20"/>
          <w:lang w:val="en-GB"/>
        </w:rPr>
        <w:t xml:space="preserve">ajor portion of investments (33 million euros) </w:t>
      </w:r>
      <w:r w:rsidR="007D46D0" w:rsidRPr="00AB604C">
        <w:rPr>
          <w:sz w:val="20"/>
          <w:szCs w:val="20"/>
          <w:lang w:val="en-GB"/>
        </w:rPr>
        <w:t>is</w:t>
      </w:r>
      <w:r w:rsidRPr="00AB604C">
        <w:rPr>
          <w:sz w:val="20"/>
          <w:szCs w:val="20"/>
          <w:lang w:val="en-GB"/>
        </w:rPr>
        <w:t xml:space="preserve"> attributable to </w:t>
      </w:r>
      <w:r w:rsidR="007D46D0" w:rsidRPr="00AB604C">
        <w:rPr>
          <w:sz w:val="20"/>
          <w:szCs w:val="20"/>
          <w:lang w:val="en-GB"/>
        </w:rPr>
        <w:t>Luka Koper d.d.</w:t>
      </w:r>
      <w:r w:rsidRPr="00AB604C">
        <w:rPr>
          <w:sz w:val="20"/>
          <w:szCs w:val="20"/>
          <w:lang w:val="en-GB"/>
        </w:rPr>
        <w:t xml:space="preserve"> In accordance with the strategic plan</w:t>
      </w:r>
      <w:r w:rsidR="00702A15" w:rsidRPr="00AB604C">
        <w:rPr>
          <w:sz w:val="20"/>
          <w:szCs w:val="20"/>
          <w:lang w:val="en-GB"/>
        </w:rPr>
        <w:t>,</w:t>
      </w:r>
      <w:r w:rsidRPr="00AB604C">
        <w:rPr>
          <w:sz w:val="20"/>
          <w:szCs w:val="20"/>
          <w:lang w:val="en-GB"/>
        </w:rPr>
        <w:t xml:space="preserve"> </w:t>
      </w:r>
      <w:r w:rsidR="00702A15" w:rsidRPr="00AB604C">
        <w:rPr>
          <w:sz w:val="20"/>
          <w:szCs w:val="20"/>
          <w:lang w:val="en-GB"/>
        </w:rPr>
        <w:t>the</w:t>
      </w:r>
      <w:r w:rsidR="00C43560" w:rsidRPr="00AB604C">
        <w:rPr>
          <w:sz w:val="20"/>
          <w:szCs w:val="20"/>
          <w:lang w:val="en-GB"/>
        </w:rPr>
        <w:t>se</w:t>
      </w:r>
      <w:r w:rsidR="00702A15" w:rsidRPr="00AB604C">
        <w:rPr>
          <w:sz w:val="20"/>
          <w:szCs w:val="20"/>
          <w:lang w:val="en-GB"/>
        </w:rPr>
        <w:t xml:space="preserve"> </w:t>
      </w:r>
      <w:r w:rsidRPr="00AB604C">
        <w:rPr>
          <w:sz w:val="20"/>
          <w:szCs w:val="20"/>
          <w:lang w:val="en-GB"/>
        </w:rPr>
        <w:t xml:space="preserve">investments will mainly </w:t>
      </w:r>
      <w:r w:rsidR="0085561A">
        <w:rPr>
          <w:sz w:val="20"/>
          <w:szCs w:val="20"/>
          <w:lang w:val="en-GB"/>
        </w:rPr>
        <w:t>focus</w:t>
      </w:r>
      <w:r w:rsidR="0085561A" w:rsidRPr="00AB604C">
        <w:rPr>
          <w:sz w:val="20"/>
          <w:szCs w:val="20"/>
          <w:lang w:val="en-GB"/>
        </w:rPr>
        <w:t xml:space="preserve"> </w:t>
      </w:r>
      <w:r w:rsidR="0085561A">
        <w:rPr>
          <w:sz w:val="20"/>
          <w:szCs w:val="20"/>
          <w:lang w:val="en-GB"/>
        </w:rPr>
        <w:t>in</w:t>
      </w:r>
      <w:r w:rsidRPr="00AB604C">
        <w:rPr>
          <w:sz w:val="20"/>
          <w:szCs w:val="20"/>
          <w:lang w:val="en-GB"/>
        </w:rPr>
        <w:t xml:space="preserve"> remov</w:t>
      </w:r>
      <w:r w:rsidR="007D46D0" w:rsidRPr="00AB604C">
        <w:rPr>
          <w:sz w:val="20"/>
          <w:szCs w:val="20"/>
          <w:lang w:val="en-GB"/>
        </w:rPr>
        <w:t>ing</w:t>
      </w:r>
      <w:r w:rsidRPr="00AB604C">
        <w:rPr>
          <w:sz w:val="20"/>
          <w:szCs w:val="20"/>
          <w:lang w:val="en-GB"/>
        </w:rPr>
        <w:t xml:space="preserve"> bottlenecks at the </w:t>
      </w:r>
      <w:r w:rsidR="007D46D0" w:rsidRPr="00AB604C">
        <w:rPr>
          <w:sz w:val="20"/>
          <w:szCs w:val="20"/>
          <w:lang w:val="en-GB"/>
        </w:rPr>
        <w:t>Container Terminal</w:t>
      </w:r>
      <w:r w:rsidRPr="00AB604C">
        <w:rPr>
          <w:sz w:val="20"/>
          <w:szCs w:val="20"/>
          <w:lang w:val="en-GB"/>
        </w:rPr>
        <w:t xml:space="preserve">. </w:t>
      </w:r>
      <w:r w:rsidR="00CC4D06">
        <w:rPr>
          <w:sz w:val="20"/>
          <w:szCs w:val="20"/>
          <w:lang w:val="en-GB"/>
        </w:rPr>
        <w:t>In t</w:t>
      </w:r>
      <w:r w:rsidRPr="00AB604C">
        <w:rPr>
          <w:sz w:val="20"/>
          <w:szCs w:val="20"/>
          <w:lang w:val="en-GB"/>
        </w:rPr>
        <w:t xml:space="preserve">he first half of 2012 </w:t>
      </w:r>
      <w:r w:rsidR="00CC4D06">
        <w:rPr>
          <w:sz w:val="20"/>
          <w:szCs w:val="20"/>
          <w:lang w:val="en-GB"/>
        </w:rPr>
        <w:t xml:space="preserve">the </w:t>
      </w:r>
      <w:r w:rsidRPr="00AB604C">
        <w:rPr>
          <w:sz w:val="20"/>
          <w:szCs w:val="20"/>
          <w:lang w:val="en-GB"/>
        </w:rPr>
        <w:t xml:space="preserve">economic </w:t>
      </w:r>
      <w:r w:rsidR="00593001" w:rsidRPr="00AB604C">
        <w:rPr>
          <w:sz w:val="20"/>
          <w:szCs w:val="20"/>
          <w:lang w:val="en-GB"/>
        </w:rPr>
        <w:t>feasibility study</w:t>
      </w:r>
      <w:r w:rsidRPr="00AB604C">
        <w:rPr>
          <w:sz w:val="20"/>
          <w:szCs w:val="20"/>
          <w:lang w:val="en-GB"/>
        </w:rPr>
        <w:t xml:space="preserve"> </w:t>
      </w:r>
      <w:r w:rsidR="00CC4D06">
        <w:rPr>
          <w:sz w:val="20"/>
          <w:szCs w:val="20"/>
          <w:lang w:val="en-GB"/>
        </w:rPr>
        <w:t xml:space="preserve">for increasing </w:t>
      </w:r>
      <w:r w:rsidR="00CC4D06" w:rsidRPr="00AB604C">
        <w:rPr>
          <w:sz w:val="20"/>
          <w:szCs w:val="20"/>
          <w:lang w:val="en-GB"/>
        </w:rPr>
        <w:t>container terminal capacities</w:t>
      </w:r>
      <w:r w:rsidR="00CC4D06">
        <w:rPr>
          <w:sz w:val="20"/>
          <w:szCs w:val="20"/>
          <w:lang w:val="en-GB"/>
        </w:rPr>
        <w:t xml:space="preserve"> will be prepared and will </w:t>
      </w:r>
      <w:r w:rsidR="00F84CA6" w:rsidRPr="00AB604C">
        <w:rPr>
          <w:sz w:val="20"/>
          <w:szCs w:val="20"/>
          <w:lang w:val="en-GB"/>
        </w:rPr>
        <w:t>include</w:t>
      </w:r>
      <w:r w:rsidR="00222118" w:rsidRPr="00AB604C">
        <w:rPr>
          <w:sz w:val="20"/>
          <w:szCs w:val="20"/>
          <w:lang w:val="en-GB"/>
        </w:rPr>
        <w:t xml:space="preserve"> the construction of the </w:t>
      </w:r>
      <w:r w:rsidR="007D46D0" w:rsidRPr="00AB604C">
        <w:rPr>
          <w:sz w:val="20"/>
          <w:szCs w:val="20"/>
          <w:lang w:val="en-GB"/>
        </w:rPr>
        <w:t>new P</w:t>
      </w:r>
      <w:r w:rsidR="00222118" w:rsidRPr="00AB604C">
        <w:rPr>
          <w:sz w:val="20"/>
          <w:szCs w:val="20"/>
          <w:lang w:val="en-GB"/>
        </w:rPr>
        <w:t>ier III.</w:t>
      </w:r>
    </w:p>
    <w:p w:rsidR="001B00E1" w:rsidRPr="00702A15" w:rsidRDefault="001B00E1" w:rsidP="001B00E1">
      <w:pPr>
        <w:pStyle w:val="Default"/>
        <w:rPr>
          <w:sz w:val="21"/>
          <w:szCs w:val="21"/>
          <w:lang w:val="en-GB"/>
        </w:rPr>
      </w:pPr>
    </w:p>
    <w:p w:rsidR="00862200" w:rsidRDefault="00862200" w:rsidP="008D18D7">
      <w:pPr>
        <w:pStyle w:val="Default"/>
        <w:rPr>
          <w:b/>
          <w:sz w:val="20"/>
          <w:szCs w:val="20"/>
          <w:lang w:val="en-GB"/>
        </w:rPr>
      </w:pPr>
    </w:p>
    <w:p w:rsidR="00D138CE" w:rsidRDefault="00D138CE" w:rsidP="008D18D7">
      <w:pPr>
        <w:pStyle w:val="Default"/>
        <w:rPr>
          <w:b/>
          <w:sz w:val="20"/>
          <w:szCs w:val="20"/>
          <w:lang w:val="en-GB"/>
        </w:rPr>
      </w:pPr>
    </w:p>
    <w:p w:rsidR="00D138CE" w:rsidRDefault="00D138CE" w:rsidP="008D18D7">
      <w:pPr>
        <w:pStyle w:val="Default"/>
        <w:rPr>
          <w:b/>
          <w:sz w:val="20"/>
          <w:szCs w:val="20"/>
          <w:lang w:val="en-GB"/>
        </w:rPr>
      </w:pPr>
    </w:p>
    <w:p w:rsidR="00D138CE" w:rsidRDefault="00D138CE" w:rsidP="008D18D7">
      <w:pPr>
        <w:pStyle w:val="Default"/>
        <w:rPr>
          <w:b/>
          <w:sz w:val="20"/>
          <w:szCs w:val="20"/>
          <w:lang w:val="en-GB"/>
        </w:rPr>
      </w:pPr>
    </w:p>
    <w:p w:rsidR="00D138CE" w:rsidRDefault="00D138CE" w:rsidP="008D18D7">
      <w:pPr>
        <w:pStyle w:val="Default"/>
        <w:rPr>
          <w:b/>
          <w:sz w:val="20"/>
          <w:szCs w:val="20"/>
          <w:lang w:val="en-GB"/>
        </w:rPr>
      </w:pPr>
    </w:p>
    <w:p w:rsidR="00D138CE" w:rsidRDefault="00D138CE" w:rsidP="008D18D7">
      <w:pPr>
        <w:pStyle w:val="Default"/>
        <w:rPr>
          <w:b/>
          <w:sz w:val="20"/>
          <w:szCs w:val="20"/>
          <w:lang w:val="en-GB"/>
        </w:rPr>
      </w:pPr>
    </w:p>
    <w:p w:rsidR="00B910BD" w:rsidRDefault="00B910BD" w:rsidP="008D18D7">
      <w:pPr>
        <w:pStyle w:val="Default"/>
        <w:rPr>
          <w:b/>
          <w:sz w:val="20"/>
          <w:szCs w:val="20"/>
          <w:lang w:val="en-GB"/>
        </w:rPr>
      </w:pPr>
    </w:p>
    <w:p w:rsidR="008D18D7" w:rsidRDefault="00222118" w:rsidP="004C4760">
      <w:pPr>
        <w:rPr>
          <w:b/>
          <w:sz w:val="20"/>
          <w:szCs w:val="20"/>
          <w:lang w:val="en-GB"/>
        </w:rPr>
      </w:pPr>
      <w:r w:rsidRPr="00702A15">
        <w:rPr>
          <w:b/>
          <w:sz w:val="20"/>
          <w:szCs w:val="20"/>
          <w:lang w:val="en-GB"/>
        </w:rPr>
        <w:t>Figure</w:t>
      </w:r>
      <w:r w:rsidR="00F84CA6">
        <w:rPr>
          <w:b/>
          <w:sz w:val="20"/>
          <w:szCs w:val="20"/>
          <w:lang w:val="en-GB"/>
        </w:rPr>
        <w:t xml:space="preserve"> </w:t>
      </w:r>
      <w:r w:rsidR="00862200" w:rsidRPr="00702A15">
        <w:rPr>
          <w:b/>
          <w:sz w:val="20"/>
          <w:szCs w:val="20"/>
          <w:lang w:val="en-GB"/>
        </w:rPr>
        <w:t>7</w:t>
      </w:r>
      <w:r w:rsidR="008D18D7" w:rsidRPr="00702A15">
        <w:rPr>
          <w:b/>
          <w:sz w:val="20"/>
          <w:szCs w:val="20"/>
          <w:lang w:val="en-GB"/>
        </w:rPr>
        <w:t xml:space="preserve">: </w:t>
      </w:r>
      <w:r w:rsidRPr="00702A15">
        <w:rPr>
          <w:b/>
          <w:sz w:val="20"/>
          <w:szCs w:val="20"/>
          <w:lang w:val="en-GB"/>
        </w:rPr>
        <w:t>Cargo throughput</w:t>
      </w:r>
      <w:r w:rsidR="008D18D7" w:rsidRPr="00702A15">
        <w:rPr>
          <w:b/>
          <w:sz w:val="20"/>
          <w:szCs w:val="20"/>
          <w:lang w:val="en-GB"/>
        </w:rPr>
        <w:t xml:space="preserve"> (</w:t>
      </w:r>
      <w:r w:rsidRPr="00702A15">
        <w:rPr>
          <w:b/>
          <w:sz w:val="20"/>
          <w:szCs w:val="20"/>
          <w:lang w:val="en-GB"/>
        </w:rPr>
        <w:t>in million</w:t>
      </w:r>
      <w:r w:rsidR="00F861EB" w:rsidRPr="00702A15">
        <w:rPr>
          <w:b/>
          <w:sz w:val="20"/>
          <w:szCs w:val="20"/>
          <w:lang w:val="en-GB"/>
        </w:rPr>
        <w:t xml:space="preserve"> ton</w:t>
      </w:r>
      <w:r w:rsidRPr="00702A15">
        <w:rPr>
          <w:b/>
          <w:sz w:val="20"/>
          <w:szCs w:val="20"/>
          <w:lang w:val="en-GB"/>
        </w:rPr>
        <w:t>nes</w:t>
      </w:r>
      <w:r w:rsidR="008D18D7" w:rsidRPr="00702A15">
        <w:rPr>
          <w:b/>
          <w:sz w:val="20"/>
          <w:szCs w:val="20"/>
          <w:lang w:val="en-GB"/>
        </w:rPr>
        <w:t>)</w:t>
      </w: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4A359B" w:rsidRDefault="004A359B" w:rsidP="004C4760">
      <w:pPr>
        <w:rPr>
          <w:b/>
          <w:sz w:val="20"/>
          <w:szCs w:val="20"/>
          <w:lang w:val="en-GB"/>
        </w:rPr>
      </w:pPr>
      <w:r w:rsidRPr="004A359B">
        <w:rPr>
          <w:szCs w:val="20"/>
        </w:rPr>
        <w:drawing>
          <wp:inline distT="0" distB="0" distL="0" distR="0">
            <wp:extent cx="5012055" cy="2599055"/>
            <wp:effectExtent l="19050" t="0" r="0" b="0"/>
            <wp:docPr id="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259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0BD" w:rsidRDefault="00B910BD" w:rsidP="004C4760">
      <w:pPr>
        <w:rPr>
          <w:b/>
          <w:sz w:val="20"/>
          <w:szCs w:val="20"/>
          <w:lang w:val="en-GB"/>
        </w:rPr>
      </w:pPr>
    </w:p>
    <w:p w:rsidR="001026A1" w:rsidRDefault="001026A1" w:rsidP="004C4760">
      <w:pPr>
        <w:rPr>
          <w:b/>
          <w:sz w:val="20"/>
          <w:szCs w:val="20"/>
          <w:lang w:val="en-GB"/>
        </w:rPr>
      </w:pPr>
    </w:p>
    <w:p w:rsidR="00496681" w:rsidRDefault="00496681" w:rsidP="00222118">
      <w:pPr>
        <w:pStyle w:val="Default"/>
        <w:rPr>
          <w:rFonts w:cs="Times New Roman"/>
          <w:b/>
          <w:color w:val="auto"/>
          <w:sz w:val="20"/>
          <w:szCs w:val="20"/>
          <w:lang w:val="en-GB" w:eastAsia="sl-SI"/>
        </w:rPr>
      </w:pPr>
    </w:p>
    <w:p w:rsidR="00222118" w:rsidRPr="00702A15" w:rsidRDefault="00222118" w:rsidP="00222118">
      <w:pPr>
        <w:pStyle w:val="Default"/>
        <w:rPr>
          <w:sz w:val="20"/>
          <w:szCs w:val="20"/>
          <w:lang w:val="en-GB"/>
        </w:rPr>
      </w:pPr>
      <w:r w:rsidRPr="00702A15">
        <w:rPr>
          <w:sz w:val="20"/>
          <w:szCs w:val="20"/>
          <w:lang w:val="en-GB"/>
        </w:rPr>
        <w:t xml:space="preserve">Cargo throughput </w:t>
      </w:r>
      <w:r w:rsidR="00CC4D06">
        <w:rPr>
          <w:sz w:val="20"/>
          <w:szCs w:val="20"/>
          <w:lang w:val="en-GB"/>
        </w:rPr>
        <w:t xml:space="preserve">is planned </w:t>
      </w:r>
      <w:r w:rsidRPr="00702A15">
        <w:rPr>
          <w:sz w:val="20"/>
          <w:szCs w:val="20"/>
          <w:lang w:val="en-GB"/>
        </w:rPr>
        <w:t xml:space="preserve">to amount 17.8 million tonnes, </w:t>
      </w:r>
      <w:r w:rsidR="00CC4D06">
        <w:rPr>
          <w:sz w:val="20"/>
          <w:szCs w:val="20"/>
          <w:lang w:val="en-GB"/>
        </w:rPr>
        <w:t xml:space="preserve">exceeding 2011 estimate by 6 percent. </w:t>
      </w:r>
      <w:r w:rsidRPr="00702A15">
        <w:rPr>
          <w:sz w:val="20"/>
          <w:szCs w:val="20"/>
          <w:lang w:val="en-GB"/>
        </w:rPr>
        <w:t>Container throughput is again expected to attain the highest level</w:t>
      </w:r>
      <w:r w:rsidR="009C4236">
        <w:rPr>
          <w:sz w:val="20"/>
          <w:szCs w:val="20"/>
          <w:lang w:val="en-GB"/>
        </w:rPr>
        <w:t>s</w:t>
      </w:r>
      <w:r w:rsidRPr="00702A15">
        <w:rPr>
          <w:sz w:val="20"/>
          <w:szCs w:val="20"/>
          <w:lang w:val="en-GB"/>
        </w:rPr>
        <w:t xml:space="preserve"> of growth in 2012, though </w:t>
      </w:r>
      <w:r w:rsidR="00414299">
        <w:rPr>
          <w:sz w:val="20"/>
          <w:szCs w:val="20"/>
          <w:lang w:val="en-GB"/>
        </w:rPr>
        <w:t xml:space="preserve">growth </w:t>
      </w:r>
      <w:r w:rsidR="009C4236">
        <w:rPr>
          <w:sz w:val="20"/>
          <w:szCs w:val="20"/>
          <w:lang w:val="en-GB"/>
        </w:rPr>
        <w:t xml:space="preserve">rates are </w:t>
      </w:r>
      <w:r w:rsidR="00CC4D06">
        <w:rPr>
          <w:sz w:val="20"/>
          <w:szCs w:val="20"/>
          <w:lang w:val="en-GB"/>
        </w:rPr>
        <w:t xml:space="preserve">expected </w:t>
      </w:r>
      <w:r w:rsidR="009C4236">
        <w:rPr>
          <w:sz w:val="20"/>
          <w:szCs w:val="20"/>
          <w:lang w:val="en-GB"/>
        </w:rPr>
        <w:t>to be</w:t>
      </w:r>
      <w:r w:rsidRPr="00702A15">
        <w:rPr>
          <w:sz w:val="20"/>
          <w:szCs w:val="20"/>
          <w:lang w:val="en-GB"/>
        </w:rPr>
        <w:t xml:space="preserve"> lower than in 2011.</w:t>
      </w:r>
    </w:p>
    <w:p w:rsidR="00F861EB" w:rsidRPr="00702A15" w:rsidRDefault="00F861EB" w:rsidP="004C4760">
      <w:pPr>
        <w:rPr>
          <w:b/>
          <w:sz w:val="20"/>
          <w:szCs w:val="20"/>
          <w:lang w:val="en-GB"/>
        </w:rPr>
      </w:pPr>
    </w:p>
    <w:sectPr w:rsidR="00F861EB" w:rsidRPr="00702A15" w:rsidSect="00FC6277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CC4" w:rsidRDefault="00033CC4" w:rsidP="00F861EB">
      <w:r>
        <w:separator/>
      </w:r>
    </w:p>
  </w:endnote>
  <w:endnote w:type="continuationSeparator" w:id="0">
    <w:p w:rsidR="00033CC4" w:rsidRDefault="00033CC4" w:rsidP="00F8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F9" w:rsidRPr="00FC6277" w:rsidRDefault="00415D5D" w:rsidP="00FC6277">
    <w:pPr>
      <w:pStyle w:val="Footer"/>
      <w:pBdr>
        <w:bottom w:val="single" w:sz="4" w:space="1" w:color="auto"/>
      </w:pBdr>
      <w:rPr>
        <w:sz w:val="18"/>
        <w:szCs w:val="18"/>
      </w:rPr>
    </w:pPr>
    <w:r>
      <w:rPr>
        <w:noProof/>
        <w:sz w:val="18"/>
        <w:szCs w:val="18"/>
        <w:lang w:eastAsia="zh-CN"/>
      </w:rPr>
      <w:drawing>
        <wp:inline distT="0" distB="0" distL="0" distR="0">
          <wp:extent cx="1151255" cy="144145"/>
          <wp:effectExtent l="19050" t="0" r="0" b="0"/>
          <wp:docPr id="9" name="Picture 9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44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7DF9" w:rsidRPr="00FC6277">
      <w:rPr>
        <w:sz w:val="18"/>
        <w:szCs w:val="18"/>
      </w:rPr>
      <w:t xml:space="preserve">                                                                                                       </w:t>
    </w:r>
    <w:r w:rsidR="00C17DF9">
      <w:rPr>
        <w:sz w:val="18"/>
        <w:szCs w:val="18"/>
      </w:rPr>
      <w:t xml:space="preserve">                        </w:t>
    </w:r>
    <w:r w:rsidR="005D0F22" w:rsidRPr="00FC6277">
      <w:rPr>
        <w:sz w:val="18"/>
        <w:szCs w:val="18"/>
      </w:rPr>
      <w:fldChar w:fldCharType="begin"/>
    </w:r>
    <w:r w:rsidR="00C17DF9" w:rsidRPr="00FC6277">
      <w:rPr>
        <w:sz w:val="18"/>
        <w:szCs w:val="18"/>
      </w:rPr>
      <w:instrText xml:space="preserve"> PAGE   \* MERGEFORMAT </w:instrText>
    </w:r>
    <w:r w:rsidR="005D0F22" w:rsidRPr="00FC6277">
      <w:rPr>
        <w:sz w:val="18"/>
        <w:szCs w:val="18"/>
      </w:rPr>
      <w:fldChar w:fldCharType="separate"/>
    </w:r>
    <w:r w:rsidR="005E4CDE">
      <w:rPr>
        <w:noProof/>
        <w:sz w:val="18"/>
        <w:szCs w:val="18"/>
      </w:rPr>
      <w:t>4</w:t>
    </w:r>
    <w:r w:rsidR="005D0F22" w:rsidRPr="00FC6277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F9" w:rsidRDefault="00C17DF9" w:rsidP="00807CE2">
    <w:pPr>
      <w:pStyle w:val="Footer"/>
      <w:pBdr>
        <w:bottom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CC4" w:rsidRDefault="00033CC4" w:rsidP="00F861EB">
      <w:r>
        <w:separator/>
      </w:r>
    </w:p>
  </w:footnote>
  <w:footnote w:type="continuationSeparator" w:id="0">
    <w:p w:rsidR="00033CC4" w:rsidRDefault="00033CC4" w:rsidP="00F86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DF9" w:rsidRDefault="00C17DF9" w:rsidP="00FC6277">
    <w:pPr>
      <w:pStyle w:val="Header"/>
      <w:pBdr>
        <w:bottom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1FF6"/>
    <w:rsid w:val="00004BBE"/>
    <w:rsid w:val="0001298C"/>
    <w:rsid w:val="00021573"/>
    <w:rsid w:val="00026996"/>
    <w:rsid w:val="00033CC4"/>
    <w:rsid w:val="000457AC"/>
    <w:rsid w:val="00047579"/>
    <w:rsid w:val="000708A5"/>
    <w:rsid w:val="00076808"/>
    <w:rsid w:val="001026A1"/>
    <w:rsid w:val="00113682"/>
    <w:rsid w:val="00114A1D"/>
    <w:rsid w:val="00151546"/>
    <w:rsid w:val="001B00E1"/>
    <w:rsid w:val="001E17ED"/>
    <w:rsid w:val="0020237C"/>
    <w:rsid w:val="00213E75"/>
    <w:rsid w:val="00222118"/>
    <w:rsid w:val="002663D0"/>
    <w:rsid w:val="002C4DD1"/>
    <w:rsid w:val="00310F90"/>
    <w:rsid w:val="003677B9"/>
    <w:rsid w:val="00386C67"/>
    <w:rsid w:val="00414299"/>
    <w:rsid w:val="00414895"/>
    <w:rsid w:val="00415232"/>
    <w:rsid w:val="00415D5D"/>
    <w:rsid w:val="00461F61"/>
    <w:rsid w:val="004808AC"/>
    <w:rsid w:val="00482CE6"/>
    <w:rsid w:val="0048538F"/>
    <w:rsid w:val="00496681"/>
    <w:rsid w:val="004A359B"/>
    <w:rsid w:val="004C4760"/>
    <w:rsid w:val="004E5EC9"/>
    <w:rsid w:val="004F1E6A"/>
    <w:rsid w:val="0050418F"/>
    <w:rsid w:val="005113D8"/>
    <w:rsid w:val="00554C78"/>
    <w:rsid w:val="00561BED"/>
    <w:rsid w:val="00581001"/>
    <w:rsid w:val="00593001"/>
    <w:rsid w:val="005D0F22"/>
    <w:rsid w:val="005D2554"/>
    <w:rsid w:val="005E4CDE"/>
    <w:rsid w:val="00636506"/>
    <w:rsid w:val="006C2461"/>
    <w:rsid w:val="00702A15"/>
    <w:rsid w:val="007737C4"/>
    <w:rsid w:val="00793298"/>
    <w:rsid w:val="007A34C3"/>
    <w:rsid w:val="007D1407"/>
    <w:rsid w:val="007D1784"/>
    <w:rsid w:val="007D46D0"/>
    <w:rsid w:val="00807CE2"/>
    <w:rsid w:val="00852EDA"/>
    <w:rsid w:val="0085561A"/>
    <w:rsid w:val="00862200"/>
    <w:rsid w:val="00883F90"/>
    <w:rsid w:val="008D18D7"/>
    <w:rsid w:val="008E5DEB"/>
    <w:rsid w:val="00905DDE"/>
    <w:rsid w:val="009575D2"/>
    <w:rsid w:val="009C3385"/>
    <w:rsid w:val="009C4236"/>
    <w:rsid w:val="009D3F94"/>
    <w:rsid w:val="00A13B33"/>
    <w:rsid w:val="00A35779"/>
    <w:rsid w:val="00A80794"/>
    <w:rsid w:val="00AB604C"/>
    <w:rsid w:val="00AE08D8"/>
    <w:rsid w:val="00AE1CF4"/>
    <w:rsid w:val="00B26FB0"/>
    <w:rsid w:val="00B4533E"/>
    <w:rsid w:val="00B47E66"/>
    <w:rsid w:val="00B52F32"/>
    <w:rsid w:val="00B83E9F"/>
    <w:rsid w:val="00B8457D"/>
    <w:rsid w:val="00B910BD"/>
    <w:rsid w:val="00BA10D9"/>
    <w:rsid w:val="00C17DF9"/>
    <w:rsid w:val="00C240D3"/>
    <w:rsid w:val="00C43560"/>
    <w:rsid w:val="00C46CD8"/>
    <w:rsid w:val="00C81CBD"/>
    <w:rsid w:val="00C866CB"/>
    <w:rsid w:val="00CC4D06"/>
    <w:rsid w:val="00CE5CA5"/>
    <w:rsid w:val="00CF0603"/>
    <w:rsid w:val="00D138CE"/>
    <w:rsid w:val="00E02203"/>
    <w:rsid w:val="00E11FF6"/>
    <w:rsid w:val="00E20435"/>
    <w:rsid w:val="00E73428"/>
    <w:rsid w:val="00E922F8"/>
    <w:rsid w:val="00E9389B"/>
    <w:rsid w:val="00EC569B"/>
    <w:rsid w:val="00ED0605"/>
    <w:rsid w:val="00EE0D8C"/>
    <w:rsid w:val="00F05113"/>
    <w:rsid w:val="00F3215C"/>
    <w:rsid w:val="00F33D55"/>
    <w:rsid w:val="00F84CA6"/>
    <w:rsid w:val="00F861EB"/>
    <w:rsid w:val="00F90694"/>
    <w:rsid w:val="00FA06B3"/>
    <w:rsid w:val="00FA673C"/>
    <w:rsid w:val="00FC02A2"/>
    <w:rsid w:val="00FC169C"/>
    <w:rsid w:val="00FC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3D8"/>
    <w:rPr>
      <w:rFonts w:ascii="Tahoma" w:hAnsi="Tahoma"/>
      <w:sz w:val="22"/>
      <w:szCs w:val="22"/>
      <w:lang w:eastAsia="sl-SI"/>
    </w:rPr>
  </w:style>
  <w:style w:type="paragraph" w:styleId="Heading1">
    <w:name w:val="heading 1"/>
    <w:basedOn w:val="Normal"/>
    <w:next w:val="Normal"/>
    <w:qFormat/>
    <w:rsid w:val="004C47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476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476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FB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861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861EB"/>
    <w:rPr>
      <w:rFonts w:ascii="Tahoma" w:hAnsi="Tahoma"/>
      <w:sz w:val="22"/>
      <w:szCs w:val="22"/>
      <w:lang w:eastAsia="sl-SI"/>
    </w:rPr>
  </w:style>
  <w:style w:type="paragraph" w:styleId="Footer">
    <w:name w:val="footer"/>
    <w:basedOn w:val="Normal"/>
    <w:link w:val="FooterChar"/>
    <w:uiPriority w:val="99"/>
    <w:rsid w:val="00F861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861EB"/>
    <w:rPr>
      <w:rFonts w:ascii="Tahoma" w:hAnsi="Tahoma"/>
      <w:sz w:val="22"/>
      <w:szCs w:val="22"/>
      <w:lang w:eastAsia="sl-SI"/>
    </w:rPr>
  </w:style>
  <w:style w:type="paragraph" w:styleId="BalloonText">
    <w:name w:val="Balloon Text"/>
    <w:basedOn w:val="Normal"/>
    <w:link w:val="BalloonTextChar"/>
    <w:rsid w:val="00386C6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C67"/>
    <w:rPr>
      <w:rFonts w:ascii="Tahoma" w:hAnsi="Tahoma" w:cs="Tahoma"/>
      <w:sz w:val="16"/>
      <w:szCs w:val="16"/>
      <w:lang w:eastAsia="sl-SI"/>
    </w:rPr>
  </w:style>
  <w:style w:type="character" w:styleId="CommentReference">
    <w:name w:val="annotation reference"/>
    <w:basedOn w:val="DefaultParagraphFont"/>
    <w:rsid w:val="00C46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C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CD8"/>
    <w:rPr>
      <w:rFonts w:ascii="Tahoma" w:hAnsi="Tahoma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46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C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Actual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sluzbapr1</dc:creator>
  <cp:keywords/>
  <cp:lastModifiedBy>jazbect</cp:lastModifiedBy>
  <cp:revision>4</cp:revision>
  <cp:lastPrinted>2011-12-21T09:09:00Z</cp:lastPrinted>
  <dcterms:created xsi:type="dcterms:W3CDTF">2011-12-21T11:53:00Z</dcterms:created>
  <dcterms:modified xsi:type="dcterms:W3CDTF">2011-12-21T12:10:00Z</dcterms:modified>
</cp:coreProperties>
</file>