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EEE" w:rsidRDefault="00DD1EEE" w:rsidP="00DD1EEE">
      <w:pPr>
        <w:pStyle w:val="Sporocilo"/>
        <w:framePr w:w="0" w:hRule="auto" w:hSpace="0" w:wrap="auto" w:vAnchor="margin" w:hAnchor="text" w:xAlign="left" w:yAlign="inline"/>
        <w:rPr>
          <w:color w:val="FF0000"/>
          <w:sz w:val="42"/>
          <w:szCs w:val="42"/>
          <w:lang w:val="pl-PL"/>
        </w:rPr>
      </w:pPr>
    </w:p>
    <w:p w:rsidR="00DD1EEE" w:rsidRPr="00DD1EEE" w:rsidRDefault="00DD1EEE" w:rsidP="00DD1EEE">
      <w:pPr>
        <w:pStyle w:val="Sporocilo"/>
        <w:framePr w:w="0" w:hRule="auto" w:hSpace="0" w:wrap="auto" w:vAnchor="margin" w:hAnchor="text" w:xAlign="left" w:yAlign="inline"/>
        <w:rPr>
          <w:color w:val="FF0000"/>
          <w:sz w:val="42"/>
          <w:szCs w:val="42"/>
          <w:lang w:val="pl-PL"/>
        </w:rPr>
      </w:pPr>
      <w:r w:rsidRPr="00DD1EEE">
        <w:rPr>
          <w:color w:val="FF0000"/>
          <w:sz w:val="42"/>
          <w:szCs w:val="42"/>
          <w:lang w:val="pl-PL"/>
        </w:rPr>
        <w:t>Sporočilo za javnost</w:t>
      </w:r>
    </w:p>
    <w:p w:rsidR="00DD1EEE" w:rsidRPr="00FA0026" w:rsidRDefault="00DD1EEE" w:rsidP="00DD1EEE">
      <w:pPr>
        <w:pStyle w:val="Sporocilo"/>
        <w:framePr w:w="0" w:hRule="auto" w:hSpace="0" w:wrap="auto" w:vAnchor="margin" w:hAnchor="text" w:xAlign="left" w:yAlign="inline"/>
        <w:jc w:val="left"/>
        <w:rPr>
          <w:color w:val="000000" w:themeColor="text1"/>
          <w:sz w:val="20"/>
          <w:szCs w:val="20"/>
          <w:lang w:val="pl-PL"/>
        </w:rPr>
      </w:pPr>
    </w:p>
    <w:p w:rsidR="00DD1EEE" w:rsidRDefault="00DD1EEE" w:rsidP="00DD1EEE">
      <w:pPr>
        <w:spacing w:line="240" w:lineRule="atLeast"/>
        <w:rPr>
          <w:rFonts w:ascii="Arial" w:hAnsi="Arial" w:cs="Arial"/>
          <w:iCs/>
          <w:sz w:val="20"/>
          <w:szCs w:val="20"/>
        </w:rPr>
      </w:pPr>
    </w:p>
    <w:p w:rsidR="00DD1EEE" w:rsidRPr="00DD1EEE" w:rsidRDefault="00DD1EEE" w:rsidP="00DD1EEE">
      <w:pPr>
        <w:spacing w:line="240" w:lineRule="atLeast"/>
        <w:rPr>
          <w:rFonts w:ascii="Arial" w:hAnsi="Arial" w:cs="Arial"/>
          <w:iCs/>
          <w:sz w:val="20"/>
          <w:szCs w:val="20"/>
        </w:rPr>
      </w:pPr>
      <w:r w:rsidRPr="00DD1EEE">
        <w:rPr>
          <w:rFonts w:ascii="Arial" w:hAnsi="Arial" w:cs="Arial"/>
          <w:iCs/>
          <w:sz w:val="20"/>
          <w:szCs w:val="20"/>
        </w:rPr>
        <w:t>Ljubljana, 16. februar 2012</w:t>
      </w:r>
    </w:p>
    <w:p w:rsidR="00DD1EEE" w:rsidRPr="00DD1EEE" w:rsidRDefault="00DD1EEE" w:rsidP="00DD1EEE">
      <w:pPr>
        <w:spacing w:line="240" w:lineRule="atLeast"/>
        <w:rPr>
          <w:rFonts w:ascii="Arial" w:hAnsi="Arial" w:cs="Arial"/>
          <w:i/>
          <w:iCs/>
          <w:sz w:val="20"/>
          <w:szCs w:val="20"/>
        </w:rPr>
      </w:pPr>
    </w:p>
    <w:p w:rsidR="00DD1EEE" w:rsidRPr="00FA0026" w:rsidRDefault="00DD1EEE" w:rsidP="00DD1EEE">
      <w:pPr>
        <w:rPr>
          <w:rFonts w:ascii="Arial" w:hAnsi="Arial" w:cs="Arial"/>
          <w:sz w:val="20"/>
          <w:szCs w:val="20"/>
        </w:rPr>
      </w:pPr>
    </w:p>
    <w:p w:rsidR="00DD1EEE" w:rsidRPr="00DD1EEE" w:rsidRDefault="00DD1EEE" w:rsidP="00DD1EEE">
      <w:pPr>
        <w:rPr>
          <w:rStyle w:val="Strong"/>
          <w:rFonts w:ascii="Arial" w:hAnsi="Arial" w:cs="Arial"/>
          <w:color w:val="000000" w:themeColor="text1"/>
          <w:sz w:val="28"/>
          <w:szCs w:val="28"/>
        </w:rPr>
      </w:pPr>
      <w:r w:rsidRPr="00DD1EEE">
        <w:rPr>
          <w:rStyle w:val="Strong"/>
          <w:rFonts w:ascii="Arial" w:hAnsi="Arial" w:cs="Arial"/>
          <w:color w:val="000000" w:themeColor="text1"/>
          <w:sz w:val="28"/>
          <w:szCs w:val="28"/>
        </w:rPr>
        <w:t>»Zadovoljstvo strank je merilo naše uspešnosti!«</w:t>
      </w:r>
    </w:p>
    <w:p w:rsidR="00DD1EEE" w:rsidRDefault="00DD1EEE" w:rsidP="00DD1EEE">
      <w:pPr>
        <w:rPr>
          <w:rStyle w:val="Strong"/>
          <w:rFonts w:ascii="Arial" w:hAnsi="Arial" w:cs="Arial"/>
          <w:color w:val="000000" w:themeColor="text1"/>
          <w:sz w:val="20"/>
          <w:szCs w:val="20"/>
        </w:rPr>
      </w:pPr>
    </w:p>
    <w:p w:rsidR="00FA0026" w:rsidRPr="00FA0026" w:rsidRDefault="00FA0026" w:rsidP="00DD1EEE">
      <w:pPr>
        <w:rPr>
          <w:rStyle w:val="Strong"/>
          <w:rFonts w:ascii="Arial" w:hAnsi="Arial" w:cs="Arial"/>
          <w:color w:val="000000" w:themeColor="text1"/>
          <w:sz w:val="20"/>
          <w:szCs w:val="20"/>
        </w:rPr>
      </w:pPr>
    </w:p>
    <w:p w:rsidR="00DD1EEE" w:rsidRPr="00DD1EEE" w:rsidRDefault="00DD1EEE" w:rsidP="00DD1EEE">
      <w:pPr>
        <w:rPr>
          <w:rFonts w:ascii="Arial" w:hAnsi="Arial" w:cs="Arial"/>
          <w:b/>
          <w:sz w:val="20"/>
          <w:szCs w:val="20"/>
        </w:rPr>
      </w:pPr>
      <w:r w:rsidRPr="00DD1EEE">
        <w:rPr>
          <w:rFonts w:ascii="Arial" w:hAnsi="Arial" w:cs="Arial"/>
          <w:b/>
          <w:sz w:val="20"/>
          <w:szCs w:val="20"/>
        </w:rPr>
        <w:t>Pozornost do strank in skrbno, a optimalno upravljanje z viri sredstev in naložbami, sta ključa do odličnih poslovnih rezultatov tudi v neugodnih gospodarskih razmerah. Skupina SKB je leto 2011 zaključila s čistim dobičkom v višini 24,4 milijona EUR.</w:t>
      </w:r>
      <w:r w:rsidRPr="00DD1EEE">
        <w:rPr>
          <w:rStyle w:val="FootnoteReference"/>
          <w:rFonts w:ascii="Arial" w:hAnsi="Arial" w:cs="Arial"/>
          <w:b/>
          <w:sz w:val="20"/>
          <w:szCs w:val="20"/>
        </w:rPr>
        <w:footnoteReference w:id="1"/>
      </w:r>
      <w:r w:rsidRPr="00DD1EEE">
        <w:rPr>
          <w:rFonts w:ascii="Arial" w:hAnsi="Arial" w:cs="Arial"/>
          <w:b/>
          <w:sz w:val="20"/>
          <w:szCs w:val="20"/>
        </w:rPr>
        <w:t xml:space="preserve"> </w:t>
      </w:r>
    </w:p>
    <w:p w:rsidR="00DD1EEE" w:rsidRPr="00DD1EEE" w:rsidRDefault="00DD1EEE" w:rsidP="00DD1EEE">
      <w:pPr>
        <w:rPr>
          <w:rFonts w:ascii="Arial" w:hAnsi="Arial" w:cs="Arial"/>
          <w:b/>
          <w:sz w:val="20"/>
          <w:szCs w:val="20"/>
        </w:rPr>
      </w:pPr>
    </w:p>
    <w:p w:rsidR="00DD1EEE" w:rsidRPr="00DD1EEE" w:rsidRDefault="00DD1EEE" w:rsidP="00DD1EEE">
      <w:pPr>
        <w:rPr>
          <w:rFonts w:ascii="Arial" w:hAnsi="Arial" w:cs="Arial"/>
          <w:b/>
          <w:sz w:val="20"/>
          <w:szCs w:val="20"/>
        </w:rPr>
      </w:pPr>
      <w:r w:rsidRPr="00DD1EEE">
        <w:rPr>
          <w:rFonts w:ascii="Arial" w:hAnsi="Arial" w:cs="Arial"/>
          <w:b/>
          <w:sz w:val="20"/>
          <w:szCs w:val="20"/>
        </w:rPr>
        <w:t>Temelji odličnih poslovnih rezultatov v primerjavi z letom 2010 so bili:</w:t>
      </w:r>
    </w:p>
    <w:p w:rsidR="00DD1EEE" w:rsidRPr="00DD1EEE" w:rsidRDefault="00DD1EEE" w:rsidP="00DD1EEE">
      <w:pPr>
        <w:numPr>
          <w:ilvl w:val="0"/>
          <w:numId w:val="11"/>
        </w:numPr>
        <w:ind w:left="284" w:hanging="284"/>
        <w:rPr>
          <w:rFonts w:ascii="Arial" w:hAnsi="Arial" w:cs="Arial"/>
          <w:b/>
          <w:sz w:val="20"/>
          <w:szCs w:val="20"/>
        </w:rPr>
      </w:pPr>
      <w:r w:rsidRPr="00DD1EEE">
        <w:rPr>
          <w:rFonts w:ascii="Arial" w:hAnsi="Arial" w:cs="Arial"/>
          <w:b/>
          <w:sz w:val="20"/>
          <w:szCs w:val="20"/>
        </w:rPr>
        <w:t>rast čistih bančnih prihodkov: +0,4 %,</w:t>
      </w:r>
    </w:p>
    <w:p w:rsidR="00DD1EEE" w:rsidRPr="00DD1EEE" w:rsidRDefault="00DD1EEE" w:rsidP="00DD1EEE">
      <w:pPr>
        <w:numPr>
          <w:ilvl w:val="0"/>
          <w:numId w:val="11"/>
        </w:numPr>
        <w:ind w:left="284" w:hanging="284"/>
        <w:rPr>
          <w:rFonts w:ascii="Arial" w:hAnsi="Arial" w:cs="Arial"/>
          <w:b/>
          <w:sz w:val="20"/>
          <w:szCs w:val="20"/>
        </w:rPr>
      </w:pPr>
      <w:r w:rsidRPr="00DD1EEE">
        <w:rPr>
          <w:rFonts w:ascii="Arial" w:hAnsi="Arial" w:cs="Arial"/>
          <w:b/>
          <w:sz w:val="20"/>
          <w:szCs w:val="20"/>
        </w:rPr>
        <w:t>rast kreditov prebivalstvu: +6,9 % in povečan tržni delež na 11,0 %,</w:t>
      </w:r>
    </w:p>
    <w:p w:rsidR="00DD1EEE" w:rsidRPr="00DD1EEE" w:rsidRDefault="00DD1EEE" w:rsidP="00DD1EEE">
      <w:pPr>
        <w:numPr>
          <w:ilvl w:val="0"/>
          <w:numId w:val="11"/>
        </w:numPr>
        <w:ind w:left="284" w:hanging="284"/>
        <w:rPr>
          <w:rFonts w:ascii="Arial" w:hAnsi="Arial" w:cs="Arial"/>
          <w:b/>
          <w:sz w:val="20"/>
          <w:szCs w:val="20"/>
        </w:rPr>
      </w:pPr>
      <w:r w:rsidRPr="00DD1EEE">
        <w:rPr>
          <w:rFonts w:ascii="Arial" w:hAnsi="Arial" w:cs="Arial"/>
          <w:b/>
          <w:sz w:val="20"/>
          <w:szCs w:val="20"/>
        </w:rPr>
        <w:t>rast depozitov prebivalstva: +7,6 % in povečan tržni delež na 7,3 %.</w:t>
      </w:r>
    </w:p>
    <w:p w:rsidR="00DD1EEE" w:rsidRPr="00DD1EEE" w:rsidRDefault="00DD1EEE" w:rsidP="00DD1EEE">
      <w:pPr>
        <w:rPr>
          <w:rFonts w:ascii="Arial" w:hAnsi="Arial" w:cs="Arial"/>
          <w:sz w:val="20"/>
          <w:szCs w:val="20"/>
        </w:rPr>
      </w:pPr>
    </w:p>
    <w:p w:rsidR="00DD1EEE" w:rsidRPr="00DD1EEE" w:rsidRDefault="00DD1EEE" w:rsidP="00DD1EEE">
      <w:pPr>
        <w:rPr>
          <w:rFonts w:ascii="Arial" w:hAnsi="Arial" w:cs="Arial"/>
          <w:b/>
          <w:sz w:val="20"/>
          <w:szCs w:val="20"/>
        </w:rPr>
      </w:pPr>
      <w:r w:rsidRPr="00DD1EEE">
        <w:rPr>
          <w:rFonts w:ascii="Arial" w:hAnsi="Arial" w:cs="Arial"/>
          <w:b/>
          <w:sz w:val="20"/>
          <w:szCs w:val="20"/>
        </w:rPr>
        <w:t xml:space="preserve">Finančni rezultati Skupine SKB v letu 2011 so odraz pravilne poslovne strategije, ki temelji na - tudi v težavnih gospodarskih razmerah stabilnem - modelu univerzalnega bančništva. Usmerjenost k strankam, kakovostna ponudba produktov in storitev, optimalno upravljanje z viri sredstev, </w:t>
      </w:r>
      <w:proofErr w:type="spellStart"/>
      <w:r w:rsidRPr="00DD1EEE">
        <w:rPr>
          <w:rFonts w:ascii="Arial" w:hAnsi="Arial" w:cs="Arial"/>
          <w:b/>
          <w:sz w:val="20"/>
          <w:szCs w:val="20"/>
        </w:rPr>
        <w:t>konzervativna</w:t>
      </w:r>
      <w:proofErr w:type="spellEnd"/>
      <w:r w:rsidRPr="00DD1EEE">
        <w:rPr>
          <w:rFonts w:ascii="Arial" w:hAnsi="Arial" w:cs="Arial"/>
          <w:b/>
          <w:sz w:val="20"/>
          <w:szCs w:val="20"/>
        </w:rPr>
        <w:t xml:space="preserve"> politika upravljanja s tveganji, skrbno obvladovanje stroškov in predanost zaposlenih, ki pri svojem delu ravnajo v skladu z vrednotami, kot so inovativnost, strokovnost in timsko delo ter podpora matične skupine </w:t>
      </w:r>
      <w:proofErr w:type="spellStart"/>
      <w:r w:rsidRPr="00DD1EEE">
        <w:rPr>
          <w:rFonts w:ascii="Arial" w:hAnsi="Arial" w:cs="Arial"/>
          <w:b/>
          <w:sz w:val="20"/>
          <w:szCs w:val="20"/>
        </w:rPr>
        <w:t>Société</w:t>
      </w:r>
      <w:proofErr w:type="spellEnd"/>
      <w:r w:rsidRPr="00DD1EEE">
        <w:rPr>
          <w:rFonts w:ascii="Arial" w:hAnsi="Arial" w:cs="Arial"/>
          <w:b/>
          <w:sz w:val="20"/>
          <w:szCs w:val="20"/>
        </w:rPr>
        <w:t xml:space="preserve"> Générale na področju znanja, uvajanja novih produktov, obvladovanja tveganj, procesnih znanj in izkušenj so dejavniki, ki so bistveno prispevali k doseženim poslovnim rezultatom. </w:t>
      </w:r>
    </w:p>
    <w:p w:rsidR="00DD1EEE" w:rsidRPr="00DD1EEE" w:rsidRDefault="00DD1EEE" w:rsidP="00DD1EEE">
      <w:pPr>
        <w:rPr>
          <w:rFonts w:ascii="Arial" w:hAnsi="Arial" w:cs="Arial"/>
          <w:sz w:val="20"/>
          <w:szCs w:val="20"/>
        </w:rPr>
      </w:pPr>
    </w:p>
    <w:tbl>
      <w:tblPr>
        <w:tblStyle w:val="TableGrid"/>
        <w:tblW w:w="9639" w:type="dxa"/>
        <w:tblInd w:w="108" w:type="dxa"/>
        <w:tblLook w:val="0000"/>
      </w:tblPr>
      <w:tblGrid>
        <w:gridCol w:w="2127"/>
        <w:gridCol w:w="1842"/>
        <w:gridCol w:w="1985"/>
        <w:gridCol w:w="1843"/>
        <w:gridCol w:w="1842"/>
      </w:tblGrid>
      <w:tr w:rsidR="00DD1EEE" w:rsidRPr="00DD1EEE" w:rsidTr="00DD1EEE">
        <w:trPr>
          <w:trHeight w:val="342"/>
        </w:trPr>
        <w:tc>
          <w:tcPr>
            <w:tcW w:w="2127" w:type="dxa"/>
            <w:noWrap/>
          </w:tcPr>
          <w:p w:rsidR="00DD1EEE" w:rsidRPr="00DD1EEE" w:rsidRDefault="00DD1EEE" w:rsidP="00DD1EEE">
            <w:pPr>
              <w:rPr>
                <w:rFonts w:ascii="Arial" w:hAnsi="Arial" w:cs="Arial"/>
                <w:color w:val="000000"/>
                <w:sz w:val="20"/>
                <w:szCs w:val="20"/>
              </w:rPr>
            </w:pPr>
          </w:p>
        </w:tc>
        <w:tc>
          <w:tcPr>
            <w:tcW w:w="7512" w:type="dxa"/>
            <w:gridSpan w:val="4"/>
            <w:noWrap/>
          </w:tcPr>
          <w:p w:rsidR="00DD1EEE" w:rsidRPr="00DD1EEE" w:rsidRDefault="00DD1EEE" w:rsidP="00DD1EEE">
            <w:pPr>
              <w:jc w:val="center"/>
              <w:rPr>
                <w:rFonts w:ascii="Arial" w:hAnsi="Arial" w:cs="Arial"/>
                <w:b/>
                <w:bCs/>
                <w:sz w:val="20"/>
                <w:szCs w:val="20"/>
              </w:rPr>
            </w:pPr>
            <w:r w:rsidRPr="00DD1EEE">
              <w:rPr>
                <w:rFonts w:ascii="Arial" w:hAnsi="Arial" w:cs="Arial"/>
                <w:b/>
                <w:bCs/>
                <w:sz w:val="20"/>
                <w:szCs w:val="20"/>
              </w:rPr>
              <w:t>Skupina SKB</w:t>
            </w:r>
          </w:p>
        </w:tc>
      </w:tr>
      <w:tr w:rsidR="00DD1EEE" w:rsidRPr="00DD1EEE" w:rsidTr="00DD1EEE">
        <w:trPr>
          <w:trHeight w:val="342"/>
        </w:trPr>
        <w:tc>
          <w:tcPr>
            <w:tcW w:w="2127" w:type="dxa"/>
            <w:noWrap/>
          </w:tcPr>
          <w:p w:rsidR="00DD1EEE" w:rsidRPr="00DD1EEE" w:rsidRDefault="00DD1EEE" w:rsidP="00DD1EEE">
            <w:pPr>
              <w:rPr>
                <w:rFonts w:ascii="Arial" w:hAnsi="Arial" w:cs="Arial"/>
                <w:color w:val="000000"/>
                <w:sz w:val="20"/>
                <w:szCs w:val="20"/>
              </w:rPr>
            </w:pPr>
            <w:r w:rsidRPr="00DD1EEE">
              <w:rPr>
                <w:rFonts w:ascii="Arial" w:hAnsi="Arial" w:cs="Arial"/>
                <w:color w:val="000000"/>
                <w:sz w:val="20"/>
                <w:szCs w:val="20"/>
              </w:rPr>
              <w:t>v 000 EUR</w:t>
            </w:r>
          </w:p>
        </w:tc>
        <w:tc>
          <w:tcPr>
            <w:tcW w:w="1842" w:type="dxa"/>
            <w:noWrap/>
          </w:tcPr>
          <w:p w:rsidR="00DD1EEE" w:rsidRPr="00DD1EEE" w:rsidRDefault="00DD1EEE" w:rsidP="00DD1EEE">
            <w:pPr>
              <w:jc w:val="right"/>
              <w:rPr>
                <w:rFonts w:ascii="Arial" w:hAnsi="Arial" w:cs="Arial"/>
                <w:b/>
                <w:bCs/>
                <w:sz w:val="20"/>
                <w:szCs w:val="20"/>
              </w:rPr>
            </w:pPr>
            <w:r w:rsidRPr="00DD1EEE">
              <w:rPr>
                <w:rFonts w:ascii="Arial" w:hAnsi="Arial" w:cs="Arial"/>
                <w:b/>
                <w:bCs/>
                <w:sz w:val="20"/>
                <w:szCs w:val="20"/>
              </w:rPr>
              <w:t>1-12 2011</w:t>
            </w:r>
          </w:p>
        </w:tc>
        <w:tc>
          <w:tcPr>
            <w:tcW w:w="1985" w:type="dxa"/>
            <w:noWrap/>
          </w:tcPr>
          <w:p w:rsidR="00DD1EEE" w:rsidRPr="00DD1EEE" w:rsidRDefault="00DD1EEE" w:rsidP="00DD1EEE">
            <w:pPr>
              <w:jc w:val="right"/>
              <w:rPr>
                <w:rFonts w:ascii="Arial" w:hAnsi="Arial" w:cs="Arial"/>
                <w:b/>
                <w:bCs/>
                <w:sz w:val="20"/>
                <w:szCs w:val="20"/>
              </w:rPr>
            </w:pPr>
            <w:r w:rsidRPr="00DD1EEE">
              <w:rPr>
                <w:rFonts w:ascii="Arial" w:hAnsi="Arial" w:cs="Arial"/>
                <w:b/>
                <w:bCs/>
                <w:sz w:val="20"/>
                <w:szCs w:val="20"/>
              </w:rPr>
              <w:t>1-12 2010</w:t>
            </w:r>
          </w:p>
        </w:tc>
        <w:tc>
          <w:tcPr>
            <w:tcW w:w="1843" w:type="dxa"/>
            <w:noWrap/>
          </w:tcPr>
          <w:p w:rsidR="00DD1EEE" w:rsidRPr="00DD1EEE" w:rsidRDefault="00DD1EEE" w:rsidP="00DD1EEE">
            <w:pPr>
              <w:jc w:val="right"/>
              <w:rPr>
                <w:rFonts w:ascii="Arial" w:hAnsi="Arial" w:cs="Arial"/>
                <w:b/>
                <w:bCs/>
                <w:sz w:val="20"/>
                <w:szCs w:val="20"/>
              </w:rPr>
            </w:pPr>
            <w:r w:rsidRPr="00DD1EEE">
              <w:rPr>
                <w:rFonts w:ascii="Arial" w:hAnsi="Arial" w:cs="Arial"/>
                <w:b/>
                <w:bCs/>
                <w:sz w:val="20"/>
                <w:szCs w:val="20"/>
              </w:rPr>
              <w:t>Razlika</w:t>
            </w:r>
          </w:p>
        </w:tc>
        <w:tc>
          <w:tcPr>
            <w:tcW w:w="1842" w:type="dxa"/>
            <w:noWrap/>
          </w:tcPr>
          <w:p w:rsidR="00DD1EEE" w:rsidRPr="00DD1EEE" w:rsidRDefault="00DD1EEE" w:rsidP="00DD1EEE">
            <w:pPr>
              <w:jc w:val="right"/>
              <w:rPr>
                <w:rFonts w:ascii="Arial" w:hAnsi="Arial" w:cs="Arial"/>
                <w:b/>
                <w:bCs/>
                <w:sz w:val="20"/>
                <w:szCs w:val="20"/>
              </w:rPr>
            </w:pPr>
            <w:r w:rsidRPr="00DD1EEE">
              <w:rPr>
                <w:rFonts w:ascii="Arial" w:hAnsi="Arial" w:cs="Arial"/>
                <w:b/>
                <w:bCs/>
                <w:sz w:val="20"/>
                <w:szCs w:val="20"/>
              </w:rPr>
              <w:t>Sprememba (%)</w:t>
            </w:r>
          </w:p>
        </w:tc>
      </w:tr>
      <w:tr w:rsidR="00DD1EEE" w:rsidRPr="00DD1EEE" w:rsidTr="00DD1EEE">
        <w:trPr>
          <w:trHeight w:val="342"/>
        </w:trPr>
        <w:tc>
          <w:tcPr>
            <w:tcW w:w="2127" w:type="dxa"/>
            <w:noWrap/>
          </w:tcPr>
          <w:p w:rsidR="00DD1EEE" w:rsidRPr="00DD1EEE" w:rsidRDefault="00DD1EEE" w:rsidP="00DD1EEE">
            <w:pPr>
              <w:rPr>
                <w:rFonts w:ascii="Arial" w:hAnsi="Arial" w:cs="Arial"/>
                <w:color w:val="000000"/>
                <w:sz w:val="20"/>
                <w:szCs w:val="20"/>
              </w:rPr>
            </w:pPr>
            <w:r w:rsidRPr="00DD1EEE">
              <w:rPr>
                <w:rFonts w:ascii="Arial" w:hAnsi="Arial" w:cs="Arial"/>
                <w:color w:val="000000"/>
                <w:sz w:val="20"/>
                <w:szCs w:val="20"/>
              </w:rPr>
              <w:t>Čiste obresti</w:t>
            </w:r>
          </w:p>
        </w:tc>
        <w:tc>
          <w:tcPr>
            <w:tcW w:w="1842"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77.920 </w:t>
            </w:r>
          </w:p>
        </w:tc>
        <w:tc>
          <w:tcPr>
            <w:tcW w:w="1985"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77.014 </w:t>
            </w:r>
          </w:p>
        </w:tc>
        <w:tc>
          <w:tcPr>
            <w:tcW w:w="1843"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906 </w:t>
            </w:r>
          </w:p>
        </w:tc>
        <w:tc>
          <w:tcPr>
            <w:tcW w:w="1842"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1,2 </w:t>
            </w:r>
          </w:p>
        </w:tc>
      </w:tr>
      <w:tr w:rsidR="00DD1EEE" w:rsidRPr="00DD1EEE" w:rsidTr="00DD1EEE">
        <w:trPr>
          <w:trHeight w:val="342"/>
        </w:trPr>
        <w:tc>
          <w:tcPr>
            <w:tcW w:w="2127" w:type="dxa"/>
            <w:noWrap/>
          </w:tcPr>
          <w:p w:rsidR="00DD1EEE" w:rsidRPr="00DD1EEE" w:rsidRDefault="00DD1EEE" w:rsidP="00DD1EEE">
            <w:pPr>
              <w:rPr>
                <w:rFonts w:ascii="Arial" w:hAnsi="Arial" w:cs="Arial"/>
                <w:color w:val="000000"/>
                <w:sz w:val="20"/>
                <w:szCs w:val="20"/>
              </w:rPr>
            </w:pPr>
            <w:proofErr w:type="spellStart"/>
            <w:r w:rsidRPr="00DD1EEE">
              <w:rPr>
                <w:rFonts w:ascii="Arial" w:hAnsi="Arial" w:cs="Arial"/>
                <w:color w:val="000000"/>
                <w:sz w:val="20"/>
                <w:szCs w:val="20"/>
              </w:rPr>
              <w:t>Neobrestni</w:t>
            </w:r>
            <w:proofErr w:type="spellEnd"/>
            <w:r w:rsidRPr="00DD1EEE">
              <w:rPr>
                <w:rFonts w:ascii="Arial" w:hAnsi="Arial" w:cs="Arial"/>
                <w:color w:val="000000"/>
                <w:sz w:val="20"/>
                <w:szCs w:val="20"/>
              </w:rPr>
              <w:t xml:space="preserve"> prihodki</w:t>
            </w:r>
          </w:p>
        </w:tc>
        <w:tc>
          <w:tcPr>
            <w:tcW w:w="1842"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36.442 </w:t>
            </w:r>
          </w:p>
        </w:tc>
        <w:tc>
          <w:tcPr>
            <w:tcW w:w="1985"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36.897 </w:t>
            </w:r>
          </w:p>
        </w:tc>
        <w:tc>
          <w:tcPr>
            <w:tcW w:w="1843"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(455)</w:t>
            </w:r>
          </w:p>
        </w:tc>
        <w:tc>
          <w:tcPr>
            <w:tcW w:w="1842"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-1,2</w:t>
            </w:r>
          </w:p>
        </w:tc>
      </w:tr>
      <w:tr w:rsidR="00DD1EEE" w:rsidRPr="00DD1EEE" w:rsidTr="00DD1EEE">
        <w:trPr>
          <w:trHeight w:val="342"/>
        </w:trPr>
        <w:tc>
          <w:tcPr>
            <w:tcW w:w="2127" w:type="dxa"/>
            <w:noWrap/>
          </w:tcPr>
          <w:p w:rsidR="00DD1EEE" w:rsidRPr="00DD1EEE" w:rsidRDefault="00DD1EEE" w:rsidP="00DD1EEE">
            <w:pPr>
              <w:rPr>
                <w:rFonts w:ascii="Arial" w:hAnsi="Arial" w:cs="Arial"/>
                <w:b/>
                <w:bCs/>
                <w:color w:val="000000"/>
                <w:sz w:val="20"/>
                <w:szCs w:val="20"/>
              </w:rPr>
            </w:pPr>
            <w:r w:rsidRPr="00DD1EEE">
              <w:rPr>
                <w:rFonts w:ascii="Arial" w:hAnsi="Arial" w:cs="Arial"/>
                <w:b/>
                <w:bCs/>
                <w:color w:val="000000"/>
                <w:sz w:val="20"/>
                <w:szCs w:val="20"/>
              </w:rPr>
              <w:t>Čisti bančni prihodki</w:t>
            </w:r>
          </w:p>
        </w:tc>
        <w:tc>
          <w:tcPr>
            <w:tcW w:w="1842"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114.362 </w:t>
            </w:r>
          </w:p>
        </w:tc>
        <w:tc>
          <w:tcPr>
            <w:tcW w:w="1985"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113.911 </w:t>
            </w:r>
          </w:p>
        </w:tc>
        <w:tc>
          <w:tcPr>
            <w:tcW w:w="1843"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451 </w:t>
            </w:r>
          </w:p>
        </w:tc>
        <w:tc>
          <w:tcPr>
            <w:tcW w:w="1842"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0,4 </w:t>
            </w:r>
          </w:p>
        </w:tc>
      </w:tr>
      <w:tr w:rsidR="00DD1EEE" w:rsidRPr="00DD1EEE" w:rsidTr="00DD1EEE">
        <w:trPr>
          <w:trHeight w:val="342"/>
        </w:trPr>
        <w:tc>
          <w:tcPr>
            <w:tcW w:w="2127" w:type="dxa"/>
            <w:noWrap/>
          </w:tcPr>
          <w:p w:rsidR="00DD1EEE" w:rsidRPr="00DD1EEE" w:rsidRDefault="00DD1EEE" w:rsidP="00DD1EEE">
            <w:pPr>
              <w:rPr>
                <w:rFonts w:ascii="Arial" w:hAnsi="Arial" w:cs="Arial"/>
                <w:color w:val="000000"/>
                <w:sz w:val="20"/>
                <w:szCs w:val="20"/>
              </w:rPr>
            </w:pPr>
            <w:r w:rsidRPr="00DD1EEE">
              <w:rPr>
                <w:rFonts w:ascii="Arial" w:hAnsi="Arial" w:cs="Arial"/>
                <w:color w:val="000000"/>
                <w:sz w:val="20"/>
                <w:szCs w:val="20"/>
              </w:rPr>
              <w:t>Operativni stroški</w:t>
            </w:r>
          </w:p>
        </w:tc>
        <w:tc>
          <w:tcPr>
            <w:tcW w:w="1842"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(62.659)</w:t>
            </w:r>
          </w:p>
        </w:tc>
        <w:tc>
          <w:tcPr>
            <w:tcW w:w="1985"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(61.859)</w:t>
            </w:r>
          </w:p>
        </w:tc>
        <w:tc>
          <w:tcPr>
            <w:tcW w:w="1843"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(800)</w:t>
            </w:r>
          </w:p>
        </w:tc>
        <w:tc>
          <w:tcPr>
            <w:tcW w:w="1842"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1,3 </w:t>
            </w:r>
          </w:p>
        </w:tc>
      </w:tr>
      <w:tr w:rsidR="00DD1EEE" w:rsidRPr="00DD1EEE" w:rsidTr="00DD1EEE">
        <w:trPr>
          <w:trHeight w:val="342"/>
        </w:trPr>
        <w:tc>
          <w:tcPr>
            <w:tcW w:w="2127" w:type="dxa"/>
            <w:noWrap/>
          </w:tcPr>
          <w:p w:rsidR="00DD1EEE" w:rsidRPr="00DD1EEE" w:rsidRDefault="00DD1EEE" w:rsidP="00DD1EEE">
            <w:pPr>
              <w:rPr>
                <w:rFonts w:ascii="Arial" w:hAnsi="Arial" w:cs="Arial"/>
                <w:color w:val="000000"/>
                <w:sz w:val="20"/>
                <w:szCs w:val="20"/>
              </w:rPr>
            </w:pPr>
            <w:r w:rsidRPr="00DD1EEE">
              <w:rPr>
                <w:rFonts w:ascii="Arial" w:hAnsi="Arial" w:cs="Arial"/>
                <w:color w:val="000000"/>
                <w:sz w:val="20"/>
                <w:szCs w:val="20"/>
              </w:rPr>
              <w:t>Stroški tveganja</w:t>
            </w:r>
          </w:p>
        </w:tc>
        <w:tc>
          <w:tcPr>
            <w:tcW w:w="1842"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(21.310)</w:t>
            </w:r>
          </w:p>
        </w:tc>
        <w:tc>
          <w:tcPr>
            <w:tcW w:w="1985"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(16.366)</w:t>
            </w:r>
          </w:p>
        </w:tc>
        <w:tc>
          <w:tcPr>
            <w:tcW w:w="1843"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(4.944)</w:t>
            </w:r>
          </w:p>
        </w:tc>
        <w:tc>
          <w:tcPr>
            <w:tcW w:w="1842"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30,2 </w:t>
            </w:r>
          </w:p>
        </w:tc>
      </w:tr>
      <w:tr w:rsidR="00DD1EEE" w:rsidRPr="00DD1EEE" w:rsidTr="00DD1EEE">
        <w:trPr>
          <w:trHeight w:val="342"/>
        </w:trPr>
        <w:tc>
          <w:tcPr>
            <w:tcW w:w="2127" w:type="dxa"/>
            <w:noWrap/>
          </w:tcPr>
          <w:p w:rsidR="00DD1EEE" w:rsidRPr="00DD1EEE" w:rsidRDefault="00DD1EEE" w:rsidP="00DD1EEE">
            <w:pPr>
              <w:rPr>
                <w:rFonts w:ascii="Arial" w:hAnsi="Arial" w:cs="Arial"/>
                <w:color w:val="000000"/>
                <w:sz w:val="20"/>
                <w:szCs w:val="20"/>
              </w:rPr>
            </w:pPr>
            <w:r w:rsidRPr="00DD1EEE">
              <w:rPr>
                <w:rFonts w:ascii="Arial" w:hAnsi="Arial" w:cs="Arial"/>
                <w:color w:val="000000"/>
                <w:sz w:val="20"/>
                <w:szCs w:val="20"/>
              </w:rPr>
              <w:t>Ostalo</w:t>
            </w:r>
          </w:p>
        </w:tc>
        <w:tc>
          <w:tcPr>
            <w:tcW w:w="1842"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0 </w:t>
            </w:r>
          </w:p>
        </w:tc>
        <w:tc>
          <w:tcPr>
            <w:tcW w:w="1985"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(588)</w:t>
            </w:r>
          </w:p>
        </w:tc>
        <w:tc>
          <w:tcPr>
            <w:tcW w:w="1843"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588 </w:t>
            </w:r>
          </w:p>
        </w:tc>
        <w:tc>
          <w:tcPr>
            <w:tcW w:w="1842"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-100,0</w:t>
            </w:r>
          </w:p>
        </w:tc>
      </w:tr>
      <w:tr w:rsidR="00DD1EEE" w:rsidRPr="00DD1EEE" w:rsidTr="00DD1EEE">
        <w:trPr>
          <w:trHeight w:val="342"/>
        </w:trPr>
        <w:tc>
          <w:tcPr>
            <w:tcW w:w="2127" w:type="dxa"/>
            <w:noWrap/>
          </w:tcPr>
          <w:p w:rsidR="00DD1EEE" w:rsidRPr="00DD1EEE" w:rsidRDefault="00DD1EEE" w:rsidP="00DD1EEE">
            <w:pPr>
              <w:rPr>
                <w:rFonts w:ascii="Arial" w:hAnsi="Arial" w:cs="Arial"/>
                <w:b/>
                <w:bCs/>
                <w:color w:val="000000"/>
                <w:sz w:val="20"/>
                <w:szCs w:val="20"/>
              </w:rPr>
            </w:pPr>
            <w:r w:rsidRPr="00DD1EEE">
              <w:rPr>
                <w:rFonts w:ascii="Arial" w:hAnsi="Arial" w:cs="Arial"/>
                <w:b/>
                <w:bCs/>
                <w:color w:val="000000"/>
                <w:sz w:val="20"/>
                <w:szCs w:val="20"/>
              </w:rPr>
              <w:t>Dobiček pred davki</w:t>
            </w:r>
          </w:p>
        </w:tc>
        <w:tc>
          <w:tcPr>
            <w:tcW w:w="1842"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30.393 </w:t>
            </w:r>
          </w:p>
        </w:tc>
        <w:tc>
          <w:tcPr>
            <w:tcW w:w="1985"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35.098 </w:t>
            </w:r>
          </w:p>
        </w:tc>
        <w:tc>
          <w:tcPr>
            <w:tcW w:w="1843"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(4.705)</w:t>
            </w:r>
          </w:p>
        </w:tc>
        <w:tc>
          <w:tcPr>
            <w:tcW w:w="1842"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-13,4</w:t>
            </w:r>
          </w:p>
        </w:tc>
      </w:tr>
      <w:tr w:rsidR="00DD1EEE" w:rsidRPr="00DD1EEE" w:rsidTr="00DD1EEE">
        <w:trPr>
          <w:trHeight w:val="342"/>
        </w:trPr>
        <w:tc>
          <w:tcPr>
            <w:tcW w:w="2127" w:type="dxa"/>
            <w:noWrap/>
          </w:tcPr>
          <w:p w:rsidR="00DD1EEE" w:rsidRPr="00DD1EEE" w:rsidRDefault="00DD1EEE" w:rsidP="00DD1EEE">
            <w:pPr>
              <w:rPr>
                <w:rFonts w:ascii="Arial" w:hAnsi="Arial" w:cs="Arial"/>
                <w:color w:val="000000"/>
                <w:sz w:val="20"/>
                <w:szCs w:val="20"/>
              </w:rPr>
            </w:pPr>
            <w:r w:rsidRPr="00DD1EEE">
              <w:rPr>
                <w:rFonts w:ascii="Arial" w:hAnsi="Arial" w:cs="Arial"/>
                <w:color w:val="000000"/>
                <w:sz w:val="20"/>
                <w:szCs w:val="20"/>
              </w:rPr>
              <w:t>Davek</w:t>
            </w:r>
          </w:p>
        </w:tc>
        <w:tc>
          <w:tcPr>
            <w:tcW w:w="1842"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(5.973)</w:t>
            </w:r>
          </w:p>
        </w:tc>
        <w:tc>
          <w:tcPr>
            <w:tcW w:w="1985"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(6.824)</w:t>
            </w:r>
          </w:p>
        </w:tc>
        <w:tc>
          <w:tcPr>
            <w:tcW w:w="1843"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851 </w:t>
            </w:r>
          </w:p>
        </w:tc>
        <w:tc>
          <w:tcPr>
            <w:tcW w:w="1842"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-12,5</w:t>
            </w:r>
          </w:p>
        </w:tc>
      </w:tr>
      <w:tr w:rsidR="00DD1EEE" w:rsidRPr="00DD1EEE" w:rsidTr="00DD1EEE">
        <w:trPr>
          <w:trHeight w:val="342"/>
        </w:trPr>
        <w:tc>
          <w:tcPr>
            <w:tcW w:w="2127" w:type="dxa"/>
            <w:noWrap/>
          </w:tcPr>
          <w:p w:rsidR="00DD1EEE" w:rsidRPr="00DD1EEE" w:rsidRDefault="00DD1EEE" w:rsidP="00DD1EEE">
            <w:pPr>
              <w:rPr>
                <w:rFonts w:ascii="Arial" w:hAnsi="Arial" w:cs="Arial"/>
                <w:b/>
                <w:bCs/>
                <w:color w:val="000000"/>
                <w:sz w:val="20"/>
                <w:szCs w:val="20"/>
              </w:rPr>
            </w:pPr>
            <w:r w:rsidRPr="00DD1EEE">
              <w:rPr>
                <w:rFonts w:ascii="Arial" w:hAnsi="Arial" w:cs="Arial"/>
                <w:b/>
                <w:bCs/>
                <w:color w:val="000000"/>
                <w:sz w:val="20"/>
                <w:szCs w:val="20"/>
              </w:rPr>
              <w:t>Dobiček po davkih</w:t>
            </w:r>
          </w:p>
        </w:tc>
        <w:tc>
          <w:tcPr>
            <w:tcW w:w="1842"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24.420 </w:t>
            </w:r>
          </w:p>
        </w:tc>
        <w:tc>
          <w:tcPr>
            <w:tcW w:w="1985"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 xml:space="preserve">28.274 </w:t>
            </w:r>
          </w:p>
        </w:tc>
        <w:tc>
          <w:tcPr>
            <w:tcW w:w="1843"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(3.854)</w:t>
            </w:r>
          </w:p>
        </w:tc>
        <w:tc>
          <w:tcPr>
            <w:tcW w:w="1842" w:type="dxa"/>
          </w:tcPr>
          <w:p w:rsidR="00DD1EEE" w:rsidRPr="00DD1EEE" w:rsidRDefault="00DD1EEE" w:rsidP="00DD1EEE">
            <w:pPr>
              <w:jc w:val="right"/>
              <w:rPr>
                <w:rFonts w:ascii="Arial" w:hAnsi="Arial" w:cs="Arial"/>
                <w:color w:val="000000"/>
                <w:sz w:val="20"/>
                <w:szCs w:val="20"/>
              </w:rPr>
            </w:pPr>
            <w:r w:rsidRPr="00DD1EEE">
              <w:rPr>
                <w:rFonts w:ascii="Arial" w:hAnsi="Arial" w:cs="Arial"/>
                <w:color w:val="000000"/>
                <w:sz w:val="20"/>
                <w:szCs w:val="20"/>
              </w:rPr>
              <w:t>-13,6</w:t>
            </w:r>
          </w:p>
        </w:tc>
      </w:tr>
    </w:tbl>
    <w:p w:rsidR="00DD1EEE" w:rsidRPr="00DD1EEE" w:rsidRDefault="00DD1EEE" w:rsidP="00DD1EEE">
      <w:pPr>
        <w:rPr>
          <w:rFonts w:ascii="Arial" w:hAnsi="Arial" w:cs="Arial"/>
          <w:sz w:val="20"/>
          <w:szCs w:val="20"/>
        </w:rPr>
      </w:pPr>
    </w:p>
    <w:p w:rsidR="00DD1EEE" w:rsidRPr="00DD1EEE" w:rsidRDefault="00DD1EEE" w:rsidP="00DD1EEE">
      <w:pPr>
        <w:rPr>
          <w:rFonts w:ascii="Arial" w:hAnsi="Arial" w:cs="Arial"/>
          <w:sz w:val="20"/>
          <w:szCs w:val="20"/>
        </w:rPr>
      </w:pPr>
      <w:r w:rsidRPr="00DD1EEE">
        <w:rPr>
          <w:rFonts w:ascii="Arial" w:hAnsi="Arial" w:cs="Arial"/>
          <w:sz w:val="20"/>
          <w:szCs w:val="20"/>
        </w:rPr>
        <w:t xml:space="preserve">Aktivna komercialna dejavnost in privlačni bančni produkti ob </w:t>
      </w:r>
      <w:r w:rsidRPr="00DD1EEE">
        <w:rPr>
          <w:rFonts w:ascii="Arial" w:hAnsi="Arial" w:cs="Arial"/>
          <w:b/>
          <w:i/>
          <w:sz w:val="20"/>
          <w:szCs w:val="20"/>
        </w:rPr>
        <w:t>ustrezni in učinkoviti poslovni politiki</w:t>
      </w:r>
      <w:r w:rsidRPr="00DD1EEE">
        <w:rPr>
          <w:rFonts w:ascii="Arial" w:hAnsi="Arial" w:cs="Arial"/>
          <w:i/>
          <w:sz w:val="20"/>
          <w:szCs w:val="20"/>
        </w:rPr>
        <w:t xml:space="preserve"> </w:t>
      </w:r>
      <w:r w:rsidRPr="00DD1EEE">
        <w:rPr>
          <w:rFonts w:ascii="Arial" w:hAnsi="Arial" w:cs="Arial"/>
          <w:sz w:val="20"/>
          <w:szCs w:val="20"/>
        </w:rPr>
        <w:t xml:space="preserve">so bili ključni dejavniki rasti </w:t>
      </w:r>
      <w:r w:rsidRPr="00DD1EEE">
        <w:rPr>
          <w:rFonts w:ascii="Arial" w:hAnsi="Arial" w:cs="Arial"/>
          <w:b/>
          <w:i/>
          <w:sz w:val="20"/>
          <w:szCs w:val="20"/>
        </w:rPr>
        <w:t xml:space="preserve">čistih bančnih prihodkov </w:t>
      </w:r>
      <w:r w:rsidRPr="00DD1EEE">
        <w:rPr>
          <w:rFonts w:ascii="Arial" w:hAnsi="Arial" w:cs="Arial"/>
          <w:sz w:val="20"/>
          <w:szCs w:val="20"/>
        </w:rPr>
        <w:t xml:space="preserve">v višini 0,5 milijona EUR. V letu 2011 jih je Skupina SKB ustvarila 114,4 milijonov EUR. To predstavlja 0,4 % povečanje, kljub novo uvedenemu davku na bilančno vsoto, ki je za Skupino SKB znašal 0,7 milijona EUR, sicer bi čisti bančni prihodki porasli za 1,0 %. </w:t>
      </w:r>
    </w:p>
    <w:p w:rsidR="00DD1EEE" w:rsidRPr="00DD1EEE" w:rsidRDefault="00DD1EEE" w:rsidP="00DD1EEE">
      <w:pPr>
        <w:rPr>
          <w:rFonts w:ascii="Arial" w:hAnsi="Arial" w:cs="Arial"/>
          <w:sz w:val="20"/>
          <w:szCs w:val="20"/>
        </w:rPr>
      </w:pPr>
    </w:p>
    <w:p w:rsidR="00DD1EEE" w:rsidRPr="00DD1EEE" w:rsidRDefault="00DD1EEE" w:rsidP="00DD1EEE">
      <w:pPr>
        <w:rPr>
          <w:rFonts w:ascii="Arial" w:hAnsi="Arial" w:cs="Arial"/>
          <w:sz w:val="20"/>
          <w:szCs w:val="20"/>
        </w:rPr>
      </w:pPr>
      <w:r w:rsidRPr="00DD1EEE">
        <w:rPr>
          <w:rFonts w:ascii="Arial" w:hAnsi="Arial" w:cs="Arial"/>
          <w:sz w:val="20"/>
          <w:szCs w:val="20"/>
        </w:rPr>
        <w:t xml:space="preserve">Rast čistih bančnih prihodkov je predvsem odraz višjih </w:t>
      </w:r>
      <w:r w:rsidRPr="00DD1EEE">
        <w:rPr>
          <w:rFonts w:ascii="Arial" w:hAnsi="Arial" w:cs="Arial"/>
          <w:b/>
          <w:i/>
          <w:sz w:val="20"/>
          <w:szCs w:val="20"/>
        </w:rPr>
        <w:t>čistih obresti</w:t>
      </w:r>
      <w:r w:rsidRPr="00DD1EEE">
        <w:rPr>
          <w:rFonts w:ascii="Arial" w:hAnsi="Arial" w:cs="Arial"/>
          <w:sz w:val="20"/>
          <w:szCs w:val="20"/>
        </w:rPr>
        <w:t xml:space="preserve">. Skupina SKB se je, tako na strani naložb, kot tudi virov sredstev, </w:t>
      </w:r>
      <w:r w:rsidRPr="00DD1EEE">
        <w:rPr>
          <w:rFonts w:ascii="Arial" w:hAnsi="Arial" w:cs="Arial"/>
          <w:b/>
          <w:i/>
          <w:sz w:val="20"/>
          <w:szCs w:val="20"/>
        </w:rPr>
        <w:t>hitro, a zelo premišljeno odzivala na spremenjene tržne razmere</w:t>
      </w:r>
      <w:r w:rsidRPr="00DD1EEE">
        <w:rPr>
          <w:rFonts w:ascii="Arial" w:hAnsi="Arial" w:cs="Arial"/>
          <w:sz w:val="20"/>
          <w:szCs w:val="20"/>
        </w:rPr>
        <w:t>. Na višino obrestne marže je ugodno vplivala tudi optimizacija in razpršenost virov Skupine SKB.</w:t>
      </w:r>
    </w:p>
    <w:p w:rsidR="00DD1EEE" w:rsidRPr="00DD1EEE" w:rsidRDefault="00DD1EEE" w:rsidP="00DD1EEE">
      <w:pPr>
        <w:rPr>
          <w:rFonts w:ascii="Arial" w:hAnsi="Arial" w:cs="Arial"/>
          <w:sz w:val="20"/>
          <w:szCs w:val="20"/>
        </w:rPr>
      </w:pPr>
    </w:p>
    <w:p w:rsidR="00DD1EEE" w:rsidRPr="00DD1EEE" w:rsidRDefault="00DD1EEE" w:rsidP="00DD1EEE">
      <w:pPr>
        <w:rPr>
          <w:rFonts w:ascii="Arial" w:hAnsi="Arial" w:cs="Arial"/>
          <w:sz w:val="20"/>
          <w:szCs w:val="20"/>
        </w:rPr>
      </w:pPr>
      <w:r w:rsidRPr="00DD1EEE">
        <w:rPr>
          <w:rFonts w:ascii="Arial" w:hAnsi="Arial" w:cs="Arial"/>
          <w:sz w:val="20"/>
          <w:szCs w:val="20"/>
        </w:rPr>
        <w:t xml:space="preserve">Ustvarjeni </w:t>
      </w:r>
      <w:r w:rsidRPr="00DD1EEE">
        <w:rPr>
          <w:rFonts w:ascii="Arial" w:hAnsi="Arial" w:cs="Arial"/>
          <w:b/>
          <w:i/>
          <w:sz w:val="20"/>
          <w:szCs w:val="20"/>
        </w:rPr>
        <w:t xml:space="preserve">čisti </w:t>
      </w:r>
      <w:proofErr w:type="spellStart"/>
      <w:r w:rsidRPr="00DD1EEE">
        <w:rPr>
          <w:rFonts w:ascii="Arial" w:hAnsi="Arial" w:cs="Arial"/>
          <w:b/>
          <w:i/>
          <w:sz w:val="20"/>
          <w:szCs w:val="20"/>
        </w:rPr>
        <w:t>neobrestni</w:t>
      </w:r>
      <w:proofErr w:type="spellEnd"/>
      <w:r w:rsidRPr="00DD1EEE">
        <w:rPr>
          <w:rFonts w:ascii="Arial" w:hAnsi="Arial" w:cs="Arial"/>
          <w:b/>
          <w:i/>
          <w:sz w:val="20"/>
          <w:szCs w:val="20"/>
        </w:rPr>
        <w:t xml:space="preserve"> prihodki</w:t>
      </w:r>
      <w:r w:rsidRPr="00DD1EEE">
        <w:rPr>
          <w:rFonts w:ascii="Arial" w:hAnsi="Arial" w:cs="Arial"/>
          <w:sz w:val="20"/>
          <w:szCs w:val="20"/>
        </w:rPr>
        <w:t xml:space="preserve"> so znašali 36,4 milijonov EUR, kar je 0,5 milijona EUR manj kot v letu 2010. Njihovo znižanje (-1,2 %) je zgolj posledica novo uvedenega davka na bilančno vsoto. </w:t>
      </w:r>
    </w:p>
    <w:p w:rsidR="00DD1EEE" w:rsidRPr="00DD1EEE" w:rsidRDefault="00DD1EEE" w:rsidP="00DD1EEE">
      <w:pPr>
        <w:rPr>
          <w:rFonts w:ascii="Arial" w:hAnsi="Arial" w:cs="Arial"/>
          <w:sz w:val="20"/>
          <w:szCs w:val="20"/>
        </w:rPr>
      </w:pPr>
    </w:p>
    <w:p w:rsidR="00DD1EEE" w:rsidRPr="00DD1EEE" w:rsidRDefault="00DD1EEE" w:rsidP="00DD1EEE">
      <w:pPr>
        <w:rPr>
          <w:rFonts w:ascii="Arial" w:hAnsi="Arial" w:cs="Arial"/>
          <w:sz w:val="20"/>
          <w:szCs w:val="20"/>
        </w:rPr>
      </w:pPr>
      <w:r w:rsidRPr="00DD1EEE">
        <w:rPr>
          <w:rFonts w:ascii="Arial" w:hAnsi="Arial" w:cs="Arial"/>
          <w:b/>
          <w:i/>
          <w:sz w:val="20"/>
          <w:szCs w:val="20"/>
        </w:rPr>
        <w:t>Dosledno obvladovanje in strogo nadziranje</w:t>
      </w:r>
      <w:r w:rsidRPr="00DD1EEE">
        <w:rPr>
          <w:rFonts w:ascii="Arial" w:hAnsi="Arial" w:cs="Arial"/>
          <w:sz w:val="20"/>
          <w:szCs w:val="20"/>
        </w:rPr>
        <w:t xml:space="preserve"> </w:t>
      </w:r>
      <w:r w:rsidRPr="00DD1EEE">
        <w:rPr>
          <w:rFonts w:ascii="Arial" w:hAnsi="Arial" w:cs="Arial"/>
          <w:b/>
          <w:i/>
          <w:sz w:val="20"/>
          <w:szCs w:val="20"/>
        </w:rPr>
        <w:t>operativnih stroškov</w:t>
      </w:r>
      <w:r w:rsidRPr="00DD1EEE">
        <w:rPr>
          <w:rFonts w:ascii="Arial" w:hAnsi="Arial" w:cs="Arial"/>
          <w:sz w:val="20"/>
          <w:szCs w:val="20"/>
        </w:rPr>
        <w:t xml:space="preserve"> je v zadnjih nekaj letih </w:t>
      </w:r>
      <w:r w:rsidRPr="00DD1EEE">
        <w:rPr>
          <w:rFonts w:ascii="Arial" w:hAnsi="Arial" w:cs="Arial"/>
          <w:b/>
          <w:i/>
          <w:sz w:val="20"/>
          <w:szCs w:val="20"/>
        </w:rPr>
        <w:t>stalno vodilo</w:t>
      </w:r>
      <w:r w:rsidRPr="00DD1EEE">
        <w:rPr>
          <w:rFonts w:ascii="Arial" w:hAnsi="Arial" w:cs="Arial"/>
          <w:sz w:val="20"/>
          <w:szCs w:val="20"/>
        </w:rPr>
        <w:t xml:space="preserve"> pri poslovanju Skupine SKB, zaradi česar je njihov obseg stabilen ne glede na porast poslov s strankami. V letu 2011 so operativni stroški znašali 62,7 milijonov EUR in so se sicer povečali za 1,3 % (oziroma 0,8 milijonov EUR), predvsem zaradi višjih </w:t>
      </w:r>
      <w:r w:rsidRPr="00DD1EEE">
        <w:rPr>
          <w:rFonts w:ascii="Arial" w:hAnsi="Arial" w:cs="Arial"/>
          <w:b/>
          <w:i/>
          <w:sz w:val="20"/>
          <w:szCs w:val="20"/>
        </w:rPr>
        <w:t>stroškov dela</w:t>
      </w:r>
      <w:r w:rsidRPr="00DD1EEE">
        <w:rPr>
          <w:rFonts w:ascii="Arial" w:hAnsi="Arial" w:cs="Arial"/>
          <w:sz w:val="20"/>
          <w:szCs w:val="20"/>
        </w:rPr>
        <w:t xml:space="preserve"> (+2,3 % oziroma 0,7 milijon EUR) in višjih </w:t>
      </w:r>
      <w:r w:rsidRPr="00DD1EEE">
        <w:rPr>
          <w:rFonts w:ascii="Arial" w:hAnsi="Arial" w:cs="Arial"/>
          <w:b/>
          <w:i/>
          <w:sz w:val="20"/>
          <w:szCs w:val="20"/>
        </w:rPr>
        <w:t xml:space="preserve">ostalih administrativnih stroškov </w:t>
      </w:r>
      <w:r w:rsidRPr="00DD1EEE">
        <w:rPr>
          <w:rFonts w:ascii="Arial" w:hAnsi="Arial" w:cs="Arial"/>
          <w:sz w:val="20"/>
          <w:szCs w:val="20"/>
        </w:rPr>
        <w:t xml:space="preserve">(+1,2 % oziroma 0,3 milijone EUR, kar je manj kot je znašala inflacija leta 2011), medtem ko se je </w:t>
      </w:r>
      <w:r w:rsidRPr="00DD1EEE">
        <w:rPr>
          <w:rFonts w:ascii="Arial" w:hAnsi="Arial" w:cs="Arial"/>
          <w:b/>
          <w:i/>
          <w:sz w:val="20"/>
          <w:szCs w:val="20"/>
        </w:rPr>
        <w:t>amortizacija</w:t>
      </w:r>
      <w:r w:rsidRPr="00DD1EEE">
        <w:rPr>
          <w:rFonts w:ascii="Arial" w:hAnsi="Arial" w:cs="Arial"/>
          <w:sz w:val="20"/>
          <w:szCs w:val="20"/>
        </w:rPr>
        <w:t xml:space="preserve"> znižala (-2,9 % oziroma 0,2 milijona EUR). </w:t>
      </w:r>
    </w:p>
    <w:p w:rsidR="00DD1EEE" w:rsidRPr="00DD1EEE" w:rsidRDefault="00DD1EEE" w:rsidP="00DD1EEE">
      <w:pPr>
        <w:rPr>
          <w:rFonts w:ascii="Arial" w:hAnsi="Arial" w:cs="Arial"/>
          <w:sz w:val="20"/>
          <w:szCs w:val="20"/>
        </w:rPr>
      </w:pPr>
    </w:p>
    <w:p w:rsidR="00DD1EEE" w:rsidRPr="00DD1EEE" w:rsidRDefault="00DD1EEE" w:rsidP="00DD1EEE">
      <w:pPr>
        <w:rPr>
          <w:rFonts w:ascii="Arial" w:hAnsi="Arial" w:cs="Arial"/>
          <w:sz w:val="20"/>
          <w:szCs w:val="20"/>
        </w:rPr>
      </w:pPr>
      <w:r w:rsidRPr="00DD1EEE">
        <w:rPr>
          <w:rFonts w:ascii="Arial" w:hAnsi="Arial" w:cs="Arial"/>
          <w:sz w:val="20"/>
          <w:szCs w:val="20"/>
        </w:rPr>
        <w:t xml:space="preserve">Zaradi višjih čistih bančnih prihodkov (+0,4 %) in kljub višjim operativnim stroškom (+1,3 %) je Skupina SKB v letu 2011 ohranila stabilno </w:t>
      </w:r>
      <w:r w:rsidRPr="00DD1EEE">
        <w:rPr>
          <w:rFonts w:ascii="Arial" w:hAnsi="Arial" w:cs="Arial"/>
          <w:b/>
          <w:i/>
          <w:sz w:val="20"/>
          <w:szCs w:val="20"/>
        </w:rPr>
        <w:t>stroškovno učinkovitost</w:t>
      </w:r>
      <w:r w:rsidRPr="00DD1EEE">
        <w:rPr>
          <w:rFonts w:ascii="Arial" w:hAnsi="Arial" w:cs="Arial"/>
          <w:sz w:val="20"/>
          <w:szCs w:val="20"/>
        </w:rPr>
        <w:t xml:space="preserve"> (54,3 % v letu 2010, 54,8 % v letu 2011). </w:t>
      </w:r>
    </w:p>
    <w:p w:rsidR="00DD1EEE" w:rsidRPr="00DD1EEE" w:rsidRDefault="00DD1EEE" w:rsidP="00DD1EEE">
      <w:pPr>
        <w:rPr>
          <w:rFonts w:ascii="Arial" w:hAnsi="Arial" w:cs="Arial"/>
          <w:sz w:val="20"/>
          <w:szCs w:val="20"/>
        </w:rPr>
      </w:pPr>
    </w:p>
    <w:p w:rsidR="00DD1EEE" w:rsidRPr="00DD1EEE" w:rsidRDefault="00DD1EEE" w:rsidP="00DD1EEE">
      <w:pPr>
        <w:pStyle w:val="daljsinaslov"/>
        <w:spacing w:before="0" w:beforeAutospacing="0" w:after="0" w:afterAutospacing="0"/>
        <w:rPr>
          <w:rFonts w:ascii="Arial" w:hAnsi="Arial" w:cs="Arial"/>
          <w:sz w:val="20"/>
          <w:szCs w:val="20"/>
        </w:rPr>
      </w:pPr>
      <w:r w:rsidRPr="00DD1EEE">
        <w:rPr>
          <w:rFonts w:ascii="Arial" w:hAnsi="Arial" w:cs="Arial"/>
          <w:sz w:val="20"/>
          <w:szCs w:val="20"/>
        </w:rPr>
        <w:t xml:space="preserve">Poglabljanje krize v gospodarstvu je pomembno vplivalo na povišanje stroškov tveganja v bankah. To velja tudi za Skupino SKB, vendar pa poslabšanje naložbenega portfelja ni bilo izrazito, saj Skupina SKB že nekaj let sledi </w:t>
      </w:r>
      <w:proofErr w:type="spellStart"/>
      <w:r w:rsidRPr="00DD1EEE">
        <w:rPr>
          <w:rFonts w:ascii="Arial" w:hAnsi="Arial" w:cs="Arial"/>
          <w:sz w:val="20"/>
          <w:szCs w:val="20"/>
        </w:rPr>
        <w:t>konzervativni</w:t>
      </w:r>
      <w:proofErr w:type="spellEnd"/>
      <w:r w:rsidRPr="00DD1EEE">
        <w:rPr>
          <w:rFonts w:ascii="Arial" w:hAnsi="Arial" w:cs="Arial"/>
          <w:sz w:val="20"/>
          <w:szCs w:val="20"/>
        </w:rPr>
        <w:t xml:space="preserve"> politiki upravljanja s tveganji in si nenehno prizadeva predvsem za kakovostno rast svojega portfelja. Stroški iz naslova tveganj so v letu 2011 znašali 21,3 milijone EUR in so v prvi vrsti odraz splošnega slabšanja gospodarskih razmer v Sloveniji in Evropi ter z njim povezanega poslabšanja portfelja večjega števila manjših podjetij.</w:t>
      </w:r>
    </w:p>
    <w:p w:rsidR="00DD1EEE" w:rsidRPr="00DD1EEE" w:rsidRDefault="00DD1EEE" w:rsidP="00DD1EEE">
      <w:pPr>
        <w:pStyle w:val="daljsinaslov"/>
        <w:spacing w:before="0" w:beforeAutospacing="0" w:after="0" w:afterAutospacing="0"/>
        <w:rPr>
          <w:rFonts w:ascii="Arial" w:hAnsi="Arial" w:cs="Arial"/>
          <w:sz w:val="20"/>
          <w:szCs w:val="20"/>
        </w:rPr>
      </w:pPr>
    </w:p>
    <w:p w:rsidR="00DD1EEE" w:rsidRPr="00DD1EEE" w:rsidRDefault="00DD1EEE" w:rsidP="00DD1EEE">
      <w:pPr>
        <w:rPr>
          <w:rFonts w:ascii="Arial" w:hAnsi="Arial" w:cs="Arial"/>
          <w:sz w:val="20"/>
          <w:szCs w:val="20"/>
        </w:rPr>
      </w:pPr>
      <w:r w:rsidRPr="00DD1EEE">
        <w:rPr>
          <w:rFonts w:ascii="Arial" w:hAnsi="Arial" w:cs="Arial"/>
          <w:sz w:val="20"/>
          <w:szCs w:val="20"/>
        </w:rPr>
        <w:t xml:space="preserve">Skupina SKB je bila vse leto dejavna tako na področju kreditiranja prebivalstva kot tudi pravnih oseb in </w:t>
      </w:r>
      <w:proofErr w:type="spellStart"/>
      <w:r w:rsidRPr="00DD1EEE">
        <w:rPr>
          <w:rFonts w:ascii="Arial" w:hAnsi="Arial" w:cs="Arial"/>
          <w:sz w:val="20"/>
          <w:szCs w:val="20"/>
        </w:rPr>
        <w:t>lizinških</w:t>
      </w:r>
      <w:proofErr w:type="spellEnd"/>
      <w:r w:rsidRPr="00DD1EEE">
        <w:rPr>
          <w:rFonts w:ascii="Arial" w:hAnsi="Arial" w:cs="Arial"/>
          <w:sz w:val="20"/>
          <w:szCs w:val="20"/>
        </w:rPr>
        <w:t xml:space="preserve"> poslov. V neugodnih gospodarskih razmerah ji je uspelo ohraniti </w:t>
      </w:r>
      <w:r w:rsidRPr="00DD1EEE">
        <w:rPr>
          <w:rFonts w:ascii="Arial" w:hAnsi="Arial" w:cs="Arial"/>
          <w:b/>
          <w:i/>
          <w:sz w:val="20"/>
          <w:szCs w:val="20"/>
        </w:rPr>
        <w:t>kredite strankam, ki niso banke</w:t>
      </w:r>
      <w:r w:rsidRPr="00DD1EEE">
        <w:rPr>
          <w:rFonts w:ascii="Arial" w:hAnsi="Arial" w:cs="Arial"/>
          <w:sz w:val="20"/>
          <w:szCs w:val="20"/>
        </w:rPr>
        <w:t xml:space="preserve"> na nivoju leta 2010. Visoko 6,9-odstotno rast (58 milijonov EUR) je dosegla z ugodno ponudbo stanovanjskih in potrošniških kreditov prebivalstvu. Tržni delež na področju stanovanjskih kreditov v evro valuti je v letu 2011 povečala za 30 bazičnih točk in ga utrdila na 12,7 %. Zaradi občutnega zmanjšanja investicijskih vlaganj v podjetjih vseh kreditov, ki so zapadli tekom leta, ni uspela nadomestiti z dolgoročnimi naložbami, zato so se krediti na tem segmentu zmanjšali za 57 milijonov (-4,9 %). Upad poslov je opazen tudi na področju </w:t>
      </w:r>
      <w:proofErr w:type="spellStart"/>
      <w:r w:rsidRPr="00DD1EEE">
        <w:rPr>
          <w:rFonts w:ascii="Arial" w:hAnsi="Arial" w:cs="Arial"/>
          <w:sz w:val="20"/>
          <w:szCs w:val="20"/>
        </w:rPr>
        <w:t>lizinških</w:t>
      </w:r>
      <w:proofErr w:type="spellEnd"/>
      <w:r w:rsidRPr="00DD1EEE">
        <w:rPr>
          <w:rFonts w:ascii="Arial" w:hAnsi="Arial" w:cs="Arial"/>
          <w:sz w:val="20"/>
          <w:szCs w:val="20"/>
        </w:rPr>
        <w:t xml:space="preserve"> aktivnosti (-4,9 %), kjer so poplačila presegala novo sklenjene posle. Večino novo sklenjenih poslov je predstavljal avtomobilski </w:t>
      </w:r>
      <w:proofErr w:type="spellStart"/>
      <w:r w:rsidRPr="00DD1EEE">
        <w:rPr>
          <w:rFonts w:ascii="Arial" w:hAnsi="Arial" w:cs="Arial"/>
          <w:sz w:val="20"/>
          <w:szCs w:val="20"/>
        </w:rPr>
        <w:t>lizing</w:t>
      </w:r>
      <w:proofErr w:type="spellEnd"/>
      <w:r w:rsidRPr="00DD1EEE">
        <w:rPr>
          <w:rFonts w:ascii="Arial" w:hAnsi="Arial" w:cs="Arial"/>
          <w:sz w:val="20"/>
          <w:szCs w:val="20"/>
        </w:rPr>
        <w:t xml:space="preserve">. </w:t>
      </w:r>
    </w:p>
    <w:p w:rsidR="00DD1EEE" w:rsidRPr="00DD1EEE" w:rsidRDefault="00DD1EEE" w:rsidP="00DD1EEE">
      <w:pPr>
        <w:pStyle w:val="daljsinaslov"/>
        <w:spacing w:before="0" w:beforeAutospacing="0" w:after="0" w:afterAutospacing="0"/>
        <w:rPr>
          <w:rFonts w:ascii="Arial" w:hAnsi="Arial" w:cs="Arial"/>
          <w:sz w:val="20"/>
          <w:szCs w:val="20"/>
        </w:rPr>
      </w:pPr>
    </w:p>
    <w:p w:rsidR="00DD1EEE" w:rsidRPr="00DD1EEE" w:rsidRDefault="00DD1EEE" w:rsidP="00DD1EEE">
      <w:pPr>
        <w:rPr>
          <w:rFonts w:ascii="Arial" w:hAnsi="Arial" w:cs="Arial"/>
          <w:sz w:val="20"/>
          <w:szCs w:val="20"/>
        </w:rPr>
      </w:pPr>
      <w:r w:rsidRPr="00DD1EEE">
        <w:rPr>
          <w:rFonts w:ascii="Arial" w:hAnsi="Arial" w:cs="Arial"/>
          <w:sz w:val="20"/>
          <w:szCs w:val="20"/>
        </w:rPr>
        <w:t xml:space="preserve">Skupina SKB v zadnjih letih daje velik poudarek zagotavljanju likvidnosti iz lastnih virov z zbranimi </w:t>
      </w:r>
      <w:r w:rsidRPr="00DD1EEE">
        <w:rPr>
          <w:rFonts w:ascii="Arial" w:hAnsi="Arial" w:cs="Arial"/>
          <w:b/>
          <w:i/>
          <w:sz w:val="20"/>
          <w:szCs w:val="20"/>
        </w:rPr>
        <w:t>vlogami strank, ki niso banke</w:t>
      </w:r>
      <w:r w:rsidRPr="00DD1EEE">
        <w:rPr>
          <w:rFonts w:ascii="Arial" w:hAnsi="Arial" w:cs="Arial"/>
          <w:sz w:val="20"/>
          <w:szCs w:val="20"/>
        </w:rPr>
        <w:t xml:space="preserve">. V letu 2011 je povečala povprečni obseg depozitov za 99 milijonov EUR (+7,0 %). Z ugodnimi obrestnimi merami je stimulirala zbiranje vezanih depozitov daljših ročnosti in uspela povečati vloge prebivalstva za 95 milijonov EUR (+10 %), vloge pravnih oseb pa za 4 milijone EUR. Sočasno je zvišala tudi obseg povprečja vpoglednih vlog prebivalstva (+31 milijonov EUR), kar je pomembno prispevalo k izboljšanju depozitne baze Skupine SKB. </w:t>
      </w:r>
    </w:p>
    <w:p w:rsidR="00DD1EEE" w:rsidRPr="00DD1EEE" w:rsidRDefault="00DD1EEE" w:rsidP="00DD1EEE">
      <w:pPr>
        <w:rPr>
          <w:rFonts w:ascii="Arial" w:hAnsi="Arial" w:cs="Arial"/>
          <w:sz w:val="20"/>
          <w:szCs w:val="20"/>
        </w:rPr>
      </w:pPr>
    </w:p>
    <w:p w:rsidR="00DD1EEE" w:rsidRPr="00DD1EEE" w:rsidRDefault="00DD1EEE" w:rsidP="00DD1EEE">
      <w:pPr>
        <w:rPr>
          <w:rFonts w:ascii="Arial" w:hAnsi="Arial" w:cs="Arial"/>
          <w:sz w:val="20"/>
          <w:szCs w:val="20"/>
        </w:rPr>
      </w:pPr>
      <w:r w:rsidRPr="00DD1EEE">
        <w:rPr>
          <w:rFonts w:ascii="Arial" w:hAnsi="Arial" w:cs="Arial"/>
          <w:sz w:val="20"/>
          <w:szCs w:val="20"/>
        </w:rPr>
        <w:t xml:space="preserve">Skupina SKB v zadnjih letih vztrajno povečuje delež depozitov v celotnih virih financiranja skupine. Pomembna je tudi razpršenost zadolževanja Skupine SKB na medbančnem trgu. Poleg virov,  najetih pri matični banki </w:t>
      </w:r>
      <w:proofErr w:type="spellStart"/>
      <w:r w:rsidRPr="00DD1EEE">
        <w:rPr>
          <w:rFonts w:ascii="Arial" w:hAnsi="Arial" w:cs="Arial"/>
          <w:b/>
          <w:i/>
          <w:sz w:val="20"/>
          <w:szCs w:val="20"/>
        </w:rPr>
        <w:t>Société</w:t>
      </w:r>
      <w:proofErr w:type="spellEnd"/>
      <w:r w:rsidRPr="00DD1EEE">
        <w:rPr>
          <w:rFonts w:ascii="Arial" w:hAnsi="Arial" w:cs="Arial"/>
          <w:b/>
          <w:i/>
          <w:sz w:val="20"/>
          <w:szCs w:val="20"/>
        </w:rPr>
        <w:t xml:space="preserve"> Générale, </w:t>
      </w:r>
      <w:r w:rsidRPr="00DD1EEE">
        <w:rPr>
          <w:rFonts w:ascii="Arial" w:hAnsi="Arial" w:cs="Arial"/>
          <w:sz w:val="20"/>
          <w:szCs w:val="20"/>
        </w:rPr>
        <w:t>se Skupina SKB zadolžuje tudi pri Evropski investicijski banki in Evropski centralni banki in tako zmanjšuje likvidnostno tveganje.</w:t>
      </w:r>
      <w:r w:rsidRPr="00DD1EEE">
        <w:rPr>
          <w:rFonts w:ascii="Arial" w:hAnsi="Arial" w:cs="Arial"/>
          <w:b/>
          <w:i/>
          <w:sz w:val="20"/>
          <w:szCs w:val="20"/>
        </w:rPr>
        <w:t xml:space="preserve"> </w:t>
      </w:r>
      <w:r w:rsidRPr="00DD1EEE">
        <w:rPr>
          <w:rFonts w:ascii="Arial" w:hAnsi="Arial" w:cs="Arial"/>
          <w:sz w:val="20"/>
          <w:szCs w:val="20"/>
        </w:rPr>
        <w:t>Kapital Skupine SKB, v celoti sestavljen iz najbolj kakovostnega temeljnega kapitala, je konec leta 2011 znašal 281 milijonov EUR.</w:t>
      </w:r>
    </w:p>
    <w:p w:rsidR="00DD1EEE" w:rsidRPr="00DD1EEE" w:rsidRDefault="00DD1EEE" w:rsidP="00DD1EEE">
      <w:pPr>
        <w:pStyle w:val="daljsinaslov"/>
        <w:spacing w:before="0" w:beforeAutospacing="0" w:after="0" w:afterAutospacing="0"/>
        <w:rPr>
          <w:rFonts w:ascii="Arial" w:hAnsi="Arial" w:cs="Arial"/>
          <w:sz w:val="20"/>
          <w:szCs w:val="20"/>
        </w:rPr>
      </w:pPr>
    </w:p>
    <w:p w:rsidR="00DD1EEE" w:rsidRPr="00DD1EEE" w:rsidRDefault="00DD1EEE" w:rsidP="00DD1EEE">
      <w:pPr>
        <w:autoSpaceDE w:val="0"/>
        <w:autoSpaceDN w:val="0"/>
        <w:adjustRightInd w:val="0"/>
        <w:rPr>
          <w:rFonts w:ascii="Arial" w:hAnsi="Arial" w:cs="Arial"/>
          <w:sz w:val="20"/>
          <w:szCs w:val="20"/>
        </w:rPr>
      </w:pPr>
      <w:r w:rsidRPr="00DD1EEE">
        <w:rPr>
          <w:rFonts w:ascii="Arial" w:hAnsi="Arial" w:cs="Arial"/>
          <w:sz w:val="20"/>
          <w:szCs w:val="20"/>
        </w:rPr>
        <w:t>V Skupini SKB sledimo načelom trajnostnega razvoja in družbene odgovornosti pri vsakodnevnem poslovanju, saj razvijamo kakovostne in inovativne storitve in procese, ki učinkovito in po razumnih ter konkurenčnih cenah zadovoljujejo potrebe strank in vplivajo tudi na višjo kakovost njihovega življenja.</w:t>
      </w:r>
      <w:r w:rsidRPr="00DD1EEE">
        <w:rPr>
          <w:rFonts w:ascii="Arial" w:eastAsia="Calibri" w:hAnsi="Arial" w:cs="Arial"/>
          <w:bCs/>
          <w:sz w:val="20"/>
          <w:szCs w:val="20"/>
          <w:lang w:eastAsia="en-US"/>
        </w:rPr>
        <w:t xml:space="preserve"> </w:t>
      </w:r>
      <w:r w:rsidRPr="00DD1EEE">
        <w:rPr>
          <w:rFonts w:ascii="Arial" w:hAnsi="Arial" w:cs="Arial"/>
          <w:b/>
          <w:sz w:val="20"/>
          <w:szCs w:val="20"/>
        </w:rPr>
        <w:t>Priznanje za uspešno poslovanje, ki je v prid vsem, strankam, zaposlenim in lastnikom, je banki namenila tudi ugledna finančna revija »</w:t>
      </w:r>
      <w:proofErr w:type="spellStart"/>
      <w:r w:rsidRPr="00DD1EEE">
        <w:rPr>
          <w:rFonts w:ascii="Arial" w:hAnsi="Arial" w:cs="Arial"/>
          <w:b/>
          <w:sz w:val="20"/>
          <w:szCs w:val="20"/>
        </w:rPr>
        <w:t>The</w:t>
      </w:r>
      <w:proofErr w:type="spellEnd"/>
      <w:r w:rsidRPr="00DD1EEE">
        <w:rPr>
          <w:rFonts w:ascii="Arial" w:hAnsi="Arial" w:cs="Arial"/>
          <w:b/>
          <w:sz w:val="20"/>
          <w:szCs w:val="20"/>
        </w:rPr>
        <w:t xml:space="preserve"> </w:t>
      </w:r>
      <w:proofErr w:type="spellStart"/>
      <w:r w:rsidRPr="00DD1EEE">
        <w:rPr>
          <w:rFonts w:ascii="Arial" w:hAnsi="Arial" w:cs="Arial"/>
          <w:b/>
          <w:sz w:val="20"/>
          <w:szCs w:val="20"/>
        </w:rPr>
        <w:t>Banker</w:t>
      </w:r>
      <w:proofErr w:type="spellEnd"/>
      <w:r w:rsidRPr="00DD1EEE">
        <w:rPr>
          <w:rFonts w:ascii="Arial" w:hAnsi="Arial" w:cs="Arial"/>
          <w:b/>
          <w:sz w:val="20"/>
          <w:szCs w:val="20"/>
        </w:rPr>
        <w:t>« in</w:t>
      </w:r>
      <w:r w:rsidRPr="00DD1EEE">
        <w:rPr>
          <w:rFonts w:ascii="Arial" w:hAnsi="Arial" w:cs="Arial"/>
          <w:sz w:val="20"/>
          <w:szCs w:val="20"/>
        </w:rPr>
        <w:t xml:space="preserve"> </w:t>
      </w:r>
      <w:r w:rsidRPr="00DD1EEE">
        <w:rPr>
          <w:rFonts w:ascii="Arial" w:hAnsi="Arial" w:cs="Arial"/>
          <w:b/>
          <w:sz w:val="20"/>
          <w:szCs w:val="20"/>
        </w:rPr>
        <w:t>imenovala</w:t>
      </w:r>
      <w:r w:rsidRPr="00DD1EEE">
        <w:rPr>
          <w:rFonts w:ascii="Arial" w:hAnsi="Arial" w:cs="Arial"/>
          <w:sz w:val="20"/>
          <w:szCs w:val="20"/>
        </w:rPr>
        <w:t xml:space="preserve"> </w:t>
      </w:r>
      <w:r w:rsidRPr="00DD1EEE">
        <w:rPr>
          <w:rFonts w:ascii="Arial" w:hAnsi="Arial" w:cs="Arial"/>
          <w:b/>
          <w:color w:val="FF0000"/>
          <w:sz w:val="20"/>
          <w:szCs w:val="20"/>
        </w:rPr>
        <w:t>SKB za banko leta 2011 v Sloveniji</w:t>
      </w:r>
      <w:r w:rsidRPr="00DD1EEE">
        <w:rPr>
          <w:rFonts w:ascii="Arial" w:hAnsi="Arial" w:cs="Arial"/>
          <w:sz w:val="20"/>
          <w:szCs w:val="20"/>
        </w:rPr>
        <w:t>.</w:t>
      </w:r>
    </w:p>
    <w:p w:rsidR="00DD1EEE" w:rsidRPr="00DD1EEE" w:rsidRDefault="00DD1EEE" w:rsidP="00DD1EEE">
      <w:pPr>
        <w:autoSpaceDE w:val="0"/>
        <w:autoSpaceDN w:val="0"/>
        <w:adjustRightInd w:val="0"/>
        <w:rPr>
          <w:rFonts w:ascii="Arial" w:hAnsi="Arial" w:cs="Arial"/>
          <w:sz w:val="20"/>
          <w:szCs w:val="20"/>
        </w:rPr>
      </w:pPr>
      <w:r w:rsidRPr="00DD1EEE">
        <w:rPr>
          <w:rFonts w:ascii="Arial" w:hAnsi="Arial" w:cs="Arial"/>
          <w:sz w:val="20"/>
          <w:szCs w:val="20"/>
        </w:rPr>
        <w:t xml:space="preserve"> </w:t>
      </w:r>
    </w:p>
    <w:p w:rsidR="00DD1EEE" w:rsidRPr="00DD1EEE" w:rsidRDefault="00DD1EEE" w:rsidP="00DD1EEE">
      <w:pPr>
        <w:autoSpaceDE w:val="0"/>
        <w:autoSpaceDN w:val="0"/>
        <w:adjustRightInd w:val="0"/>
        <w:rPr>
          <w:rFonts w:ascii="Arial" w:eastAsia="Calibri" w:hAnsi="Arial" w:cs="Arial"/>
          <w:bCs/>
          <w:sz w:val="20"/>
          <w:szCs w:val="20"/>
          <w:lang w:eastAsia="en-US"/>
        </w:rPr>
      </w:pPr>
      <w:r w:rsidRPr="00DD1EEE">
        <w:rPr>
          <w:rFonts w:ascii="Arial" w:eastAsia="Calibri" w:hAnsi="Arial" w:cs="Arial"/>
          <w:bCs/>
          <w:sz w:val="20"/>
          <w:szCs w:val="20"/>
          <w:lang w:eastAsia="en-US"/>
        </w:rPr>
        <w:t>SKB nenehno sledi razvoju in finančnim potrebam strank, zato je slednjim tudi v minulem letu ponudila nove bančne storitve, oblikovane posebej za različne segmente strank:</w:t>
      </w:r>
    </w:p>
    <w:p w:rsidR="00DD1EEE" w:rsidRPr="00DD1EEE" w:rsidRDefault="00DD1EEE" w:rsidP="00DD1EEE">
      <w:pPr>
        <w:pStyle w:val="ListParagraph"/>
        <w:numPr>
          <w:ilvl w:val="0"/>
          <w:numId w:val="12"/>
        </w:numPr>
        <w:autoSpaceDE w:val="0"/>
        <w:autoSpaceDN w:val="0"/>
        <w:adjustRightInd w:val="0"/>
        <w:ind w:left="284" w:hanging="284"/>
        <w:rPr>
          <w:rFonts w:ascii="Arial" w:hAnsi="Arial" w:cs="Arial"/>
          <w:sz w:val="20"/>
          <w:szCs w:val="20"/>
        </w:rPr>
      </w:pPr>
      <w:r w:rsidRPr="00DD1EEE">
        <w:rPr>
          <w:rFonts w:ascii="Arial" w:hAnsi="Arial" w:cs="Arial"/>
          <w:b/>
          <w:bCs/>
          <w:sz w:val="20"/>
          <w:szCs w:val="20"/>
          <w:lang w:eastAsia="en-US"/>
        </w:rPr>
        <w:t>Samo moja – možnost izbire in izdelava ekskluzivnega</w:t>
      </w:r>
      <w:r w:rsidRPr="00DD1EEE">
        <w:rPr>
          <w:rFonts w:ascii="Arial" w:hAnsi="Arial" w:cs="Arial"/>
          <w:b/>
          <w:sz w:val="20"/>
          <w:szCs w:val="20"/>
        </w:rPr>
        <w:t xml:space="preserve"> dizajna z motivom po izbiri strank pri vseh vrstah bančnih kartic </w:t>
      </w:r>
      <w:r w:rsidRPr="00DD1EEE">
        <w:rPr>
          <w:rFonts w:ascii="Arial" w:hAnsi="Arial" w:cs="Arial"/>
          <w:sz w:val="20"/>
          <w:szCs w:val="20"/>
        </w:rPr>
        <w:t xml:space="preserve">– BA </w:t>
      </w:r>
      <w:proofErr w:type="spellStart"/>
      <w:r w:rsidRPr="00DD1EEE">
        <w:rPr>
          <w:rFonts w:ascii="Arial" w:hAnsi="Arial" w:cs="Arial"/>
          <w:sz w:val="20"/>
          <w:szCs w:val="20"/>
        </w:rPr>
        <w:t>Maestro</w:t>
      </w:r>
      <w:proofErr w:type="spellEnd"/>
      <w:r w:rsidRPr="00DD1EEE">
        <w:rPr>
          <w:rFonts w:ascii="Arial" w:hAnsi="Arial" w:cs="Arial"/>
          <w:sz w:val="20"/>
          <w:szCs w:val="20"/>
        </w:rPr>
        <w:t xml:space="preserve">, VISA, </w:t>
      </w:r>
      <w:proofErr w:type="spellStart"/>
      <w:r w:rsidRPr="00DD1EEE">
        <w:rPr>
          <w:rFonts w:ascii="Arial" w:hAnsi="Arial" w:cs="Arial"/>
          <w:sz w:val="20"/>
          <w:szCs w:val="20"/>
        </w:rPr>
        <w:t>MasterCard</w:t>
      </w:r>
      <w:proofErr w:type="spellEnd"/>
      <w:r w:rsidRPr="00DD1EEE">
        <w:rPr>
          <w:rFonts w:ascii="Arial" w:hAnsi="Arial" w:cs="Arial"/>
          <w:sz w:val="20"/>
          <w:szCs w:val="20"/>
        </w:rPr>
        <w:t xml:space="preserve"> in poslovni </w:t>
      </w:r>
      <w:proofErr w:type="spellStart"/>
      <w:r w:rsidRPr="00DD1EEE">
        <w:rPr>
          <w:rFonts w:ascii="Arial" w:hAnsi="Arial" w:cs="Arial"/>
          <w:sz w:val="20"/>
          <w:szCs w:val="20"/>
        </w:rPr>
        <w:t>MasterCard</w:t>
      </w:r>
      <w:proofErr w:type="spellEnd"/>
      <w:r w:rsidRPr="00DD1EEE">
        <w:rPr>
          <w:rFonts w:ascii="Arial" w:hAnsi="Arial" w:cs="Arial"/>
          <w:sz w:val="20"/>
          <w:szCs w:val="20"/>
        </w:rPr>
        <w:t xml:space="preserve"> kartici;</w:t>
      </w:r>
    </w:p>
    <w:p w:rsidR="00DD1EEE" w:rsidRPr="00DD1EEE" w:rsidRDefault="00DD1EEE" w:rsidP="00DD1EEE">
      <w:pPr>
        <w:pStyle w:val="ListParagraph"/>
        <w:numPr>
          <w:ilvl w:val="0"/>
          <w:numId w:val="12"/>
        </w:numPr>
        <w:autoSpaceDE w:val="0"/>
        <w:autoSpaceDN w:val="0"/>
        <w:adjustRightInd w:val="0"/>
        <w:ind w:left="284" w:hanging="284"/>
        <w:rPr>
          <w:rFonts w:ascii="Arial" w:hAnsi="Arial" w:cs="Arial"/>
          <w:sz w:val="20"/>
          <w:szCs w:val="20"/>
        </w:rPr>
      </w:pPr>
      <w:r w:rsidRPr="00DD1EEE">
        <w:rPr>
          <w:rFonts w:ascii="Arial" w:hAnsi="Arial" w:cs="Arial"/>
          <w:b/>
          <w:bCs/>
          <w:sz w:val="20"/>
          <w:szCs w:val="20"/>
        </w:rPr>
        <w:t>Dodatna zavarovanja za imetnike vseh SKB kartic</w:t>
      </w:r>
      <w:r w:rsidRPr="00DD1EEE">
        <w:rPr>
          <w:rFonts w:ascii="Arial" w:hAnsi="Arial" w:cs="Arial"/>
          <w:bCs/>
          <w:sz w:val="20"/>
          <w:szCs w:val="20"/>
        </w:rPr>
        <w:t>, ki dajejo</w:t>
      </w:r>
      <w:r w:rsidRPr="00DD1EEE">
        <w:rPr>
          <w:rFonts w:ascii="Arial" w:eastAsia="Times New Roman" w:hAnsi="Arial" w:cs="Arial"/>
          <w:sz w:val="20"/>
          <w:szCs w:val="20"/>
        </w:rPr>
        <w:t xml:space="preserve"> karticam dodano vrednost, strankam pa večjo varnost pri vsakdanjem poslovanju z njimi in pri uporabi na potovanjih v tujini;</w:t>
      </w:r>
    </w:p>
    <w:p w:rsidR="00DD1EEE" w:rsidRPr="00DD1EEE" w:rsidRDefault="00DD1EEE" w:rsidP="00DD1EEE">
      <w:pPr>
        <w:pStyle w:val="ListParagraph"/>
        <w:numPr>
          <w:ilvl w:val="0"/>
          <w:numId w:val="12"/>
        </w:numPr>
        <w:autoSpaceDE w:val="0"/>
        <w:autoSpaceDN w:val="0"/>
        <w:adjustRightInd w:val="0"/>
        <w:ind w:left="284" w:hanging="284"/>
        <w:rPr>
          <w:rFonts w:ascii="Arial" w:hAnsi="Arial" w:cs="Arial"/>
          <w:sz w:val="20"/>
          <w:szCs w:val="20"/>
        </w:rPr>
      </w:pPr>
      <w:r w:rsidRPr="00DD1EEE">
        <w:rPr>
          <w:rFonts w:ascii="Arial" w:hAnsi="Arial" w:cs="Arial"/>
          <w:b/>
          <w:sz w:val="20"/>
          <w:szCs w:val="20"/>
        </w:rPr>
        <w:t>Kredit na prodajnem mestu</w:t>
      </w:r>
      <w:r w:rsidRPr="00DD1EEE">
        <w:rPr>
          <w:rFonts w:ascii="Arial" w:hAnsi="Arial" w:cs="Arial"/>
          <w:sz w:val="20"/>
          <w:szCs w:val="20"/>
        </w:rPr>
        <w:t>, ki ga lahko trgovci, ki imajo pogodbo z banko,  svojim strankam odobrijo prek spletne povezave neposredno na prodajnem mestu;</w:t>
      </w:r>
    </w:p>
    <w:p w:rsidR="00DD1EEE" w:rsidRPr="00DD1EEE" w:rsidRDefault="00DD1EEE" w:rsidP="00DD1EEE">
      <w:pPr>
        <w:pStyle w:val="ListParagraph"/>
        <w:numPr>
          <w:ilvl w:val="0"/>
          <w:numId w:val="12"/>
        </w:numPr>
        <w:autoSpaceDE w:val="0"/>
        <w:autoSpaceDN w:val="0"/>
        <w:adjustRightInd w:val="0"/>
        <w:ind w:left="284" w:hanging="284"/>
        <w:rPr>
          <w:rFonts w:ascii="Arial" w:hAnsi="Arial" w:cs="Arial"/>
          <w:sz w:val="20"/>
          <w:szCs w:val="20"/>
        </w:rPr>
      </w:pPr>
      <w:r w:rsidRPr="00DD1EEE">
        <w:rPr>
          <w:rFonts w:ascii="Arial" w:hAnsi="Arial" w:cs="Arial"/>
          <w:b/>
          <w:sz w:val="20"/>
          <w:szCs w:val="20"/>
        </w:rPr>
        <w:lastRenderedPageBreak/>
        <w:t xml:space="preserve">SKB naložbeni depozit  5 in naložbeni depozit 6, </w:t>
      </w:r>
      <w:r w:rsidRPr="00DD1EEE">
        <w:rPr>
          <w:rFonts w:ascii="Arial" w:hAnsi="Arial" w:cs="Arial"/>
          <w:sz w:val="20"/>
          <w:szCs w:val="20"/>
        </w:rPr>
        <w:t xml:space="preserve">denarna depozita s 100 – odstotnim jamstvom izplačila glavnice ob zapadlosti, ki poleg varnosti omogočata tudi možnost doseganja višjih donosov v primerjavi z običajnim vezanim depozitom;  </w:t>
      </w:r>
    </w:p>
    <w:p w:rsidR="00DD1EEE" w:rsidRPr="00DD1EEE" w:rsidRDefault="00DD1EEE" w:rsidP="00DD1EEE">
      <w:pPr>
        <w:pStyle w:val="ListParagraph"/>
        <w:numPr>
          <w:ilvl w:val="0"/>
          <w:numId w:val="12"/>
        </w:numPr>
        <w:autoSpaceDE w:val="0"/>
        <w:autoSpaceDN w:val="0"/>
        <w:adjustRightInd w:val="0"/>
        <w:ind w:left="284" w:hanging="284"/>
        <w:rPr>
          <w:rFonts w:ascii="Arial" w:hAnsi="Arial" w:cs="Arial"/>
          <w:sz w:val="20"/>
          <w:szCs w:val="20"/>
        </w:rPr>
      </w:pPr>
      <w:r w:rsidRPr="00DD1EEE">
        <w:rPr>
          <w:rFonts w:ascii="Arial" w:hAnsi="Arial" w:cs="Arial"/>
          <w:b/>
          <w:sz w:val="20"/>
          <w:szCs w:val="20"/>
        </w:rPr>
        <w:t xml:space="preserve">Poslovni paket dobrodošlice </w:t>
      </w:r>
      <w:r w:rsidRPr="00DD1EEE">
        <w:rPr>
          <w:rFonts w:ascii="Arial" w:hAnsi="Arial" w:cs="Arial"/>
          <w:sz w:val="20"/>
          <w:szCs w:val="20"/>
        </w:rPr>
        <w:t xml:space="preserve">za podjetnike in podjetja, katerim so bančniki ob odprtju transakcijskega računa v SKB  pomagali izbrati njim najbolj ustrezne bančne produkte z dodatnimi ugodnostmi. Ker je v današnjih turbulentnih časih poslovanja podjetij pomembno hitro odobravanje kreditov, smo pripravili tudi </w:t>
      </w:r>
      <w:r w:rsidRPr="00DD1EEE">
        <w:rPr>
          <w:rFonts w:ascii="Arial" w:hAnsi="Arial" w:cs="Arial"/>
          <w:b/>
          <w:sz w:val="20"/>
          <w:szCs w:val="20"/>
        </w:rPr>
        <w:t>posebno ponudbo dolgoročnih kreditov</w:t>
      </w:r>
      <w:r w:rsidR="00FA0026">
        <w:rPr>
          <w:rFonts w:ascii="Arial" w:hAnsi="Arial" w:cs="Arial"/>
          <w:b/>
          <w:sz w:val="20"/>
          <w:szCs w:val="20"/>
        </w:rPr>
        <w:t>;</w:t>
      </w:r>
    </w:p>
    <w:p w:rsidR="00DD1EEE" w:rsidRPr="00DD1EEE" w:rsidRDefault="00DD1EEE" w:rsidP="00DD1EEE">
      <w:pPr>
        <w:numPr>
          <w:ilvl w:val="0"/>
          <w:numId w:val="12"/>
        </w:numPr>
        <w:ind w:left="284" w:hanging="284"/>
        <w:outlineLvl w:val="0"/>
        <w:rPr>
          <w:rFonts w:ascii="Arial" w:hAnsi="Arial" w:cs="Arial"/>
          <w:sz w:val="20"/>
          <w:szCs w:val="20"/>
        </w:rPr>
      </w:pPr>
      <w:r w:rsidRPr="00DD1EEE">
        <w:rPr>
          <w:rFonts w:ascii="Arial" w:hAnsi="Arial" w:cs="Arial"/>
          <w:b/>
          <w:color w:val="000000"/>
          <w:spacing w:val="-6"/>
          <w:sz w:val="20"/>
          <w:szCs w:val="20"/>
        </w:rPr>
        <w:t>Podjetniški depozitni račun</w:t>
      </w:r>
      <w:r w:rsidRPr="00DD1EEE">
        <w:rPr>
          <w:rFonts w:ascii="Arial" w:hAnsi="Arial" w:cs="Arial"/>
          <w:color w:val="000000"/>
          <w:spacing w:val="-6"/>
          <w:sz w:val="20"/>
          <w:szCs w:val="20"/>
        </w:rPr>
        <w:t>, namenjen pravnim osebam, imetnikom zasebnih dejavnosti in civilno pravnim osebam, ki želijo prosto varčevati in razpolagati s privarčevanim denarjem po kratkem obdobju;</w:t>
      </w:r>
    </w:p>
    <w:p w:rsidR="00DD1EEE" w:rsidRPr="00DD1EEE" w:rsidRDefault="00DD1EEE" w:rsidP="00DD1EEE">
      <w:pPr>
        <w:numPr>
          <w:ilvl w:val="0"/>
          <w:numId w:val="12"/>
        </w:numPr>
        <w:ind w:left="284" w:hanging="284"/>
        <w:outlineLvl w:val="0"/>
        <w:rPr>
          <w:rFonts w:ascii="Arial" w:hAnsi="Arial" w:cs="Arial"/>
          <w:sz w:val="20"/>
          <w:szCs w:val="20"/>
        </w:rPr>
      </w:pPr>
      <w:r w:rsidRPr="00DD1EEE">
        <w:rPr>
          <w:rFonts w:ascii="Arial" w:hAnsi="Arial" w:cs="Arial"/>
          <w:b/>
          <w:sz w:val="20"/>
          <w:szCs w:val="20"/>
        </w:rPr>
        <w:t>Varčevalni račun s ciljem</w:t>
      </w:r>
      <w:r w:rsidRPr="00DD1EEE">
        <w:rPr>
          <w:rFonts w:ascii="Arial" w:hAnsi="Arial" w:cs="Arial"/>
          <w:sz w:val="20"/>
          <w:szCs w:val="20"/>
        </w:rPr>
        <w:t>, oblika dolgoročnega varčevanja, ki omogoča strankam uresničitev ciljev in želja ob obročnem varčevanju ter dodatne ugodnosti pri najemu potrošniškega ali stanovanjskega kredita;</w:t>
      </w:r>
    </w:p>
    <w:p w:rsidR="00DD1EEE" w:rsidRPr="00DD1EEE" w:rsidRDefault="00DD1EEE" w:rsidP="00DD1EEE">
      <w:pPr>
        <w:numPr>
          <w:ilvl w:val="0"/>
          <w:numId w:val="12"/>
        </w:numPr>
        <w:ind w:left="284" w:hanging="284"/>
        <w:outlineLvl w:val="0"/>
        <w:rPr>
          <w:rFonts w:ascii="Arial" w:hAnsi="Arial" w:cs="Arial"/>
          <w:sz w:val="20"/>
          <w:szCs w:val="20"/>
        </w:rPr>
      </w:pPr>
      <w:r w:rsidRPr="00DD1EEE">
        <w:rPr>
          <w:rFonts w:ascii="Arial" w:hAnsi="Arial" w:cs="Arial"/>
          <w:sz w:val="20"/>
          <w:szCs w:val="20"/>
        </w:rPr>
        <w:t xml:space="preserve">Vse skupaj pa so povezali v </w:t>
      </w:r>
      <w:r w:rsidRPr="00DD1EEE">
        <w:rPr>
          <w:rFonts w:ascii="Arial" w:hAnsi="Arial" w:cs="Arial"/>
          <w:b/>
          <w:color w:val="000000"/>
          <w:sz w:val="20"/>
          <w:szCs w:val="20"/>
        </w:rPr>
        <w:t>akciji Priporočite nas</w:t>
      </w:r>
      <w:r w:rsidRPr="00DD1EEE">
        <w:rPr>
          <w:rFonts w:ascii="Arial" w:hAnsi="Arial" w:cs="Arial"/>
          <w:color w:val="000000"/>
          <w:sz w:val="20"/>
          <w:szCs w:val="20"/>
        </w:rPr>
        <w:t xml:space="preserve"> in jo povezali s praznovanjem 10. obletnice, odkar sodi SKB v Skupino </w:t>
      </w:r>
      <w:proofErr w:type="spellStart"/>
      <w:r w:rsidRPr="00DD1EEE">
        <w:rPr>
          <w:rFonts w:ascii="Arial" w:hAnsi="Arial" w:cs="Arial"/>
          <w:color w:val="000000"/>
          <w:sz w:val="20"/>
          <w:szCs w:val="20"/>
        </w:rPr>
        <w:t>Société</w:t>
      </w:r>
      <w:proofErr w:type="spellEnd"/>
      <w:r w:rsidRPr="00DD1EEE">
        <w:rPr>
          <w:rFonts w:ascii="Arial" w:hAnsi="Arial" w:cs="Arial"/>
          <w:color w:val="000000"/>
          <w:sz w:val="20"/>
          <w:szCs w:val="20"/>
        </w:rPr>
        <w:t xml:space="preserve"> Générale, da bi na ta način tudi svoje stranke nadgradili za njihovo zaupanje in pripadnost, ki jo izkazujejo banki.</w:t>
      </w:r>
    </w:p>
    <w:p w:rsidR="00DD1EEE" w:rsidRPr="00DD1EEE" w:rsidRDefault="00DD1EEE" w:rsidP="00DD1EEE">
      <w:pPr>
        <w:autoSpaceDE w:val="0"/>
        <w:autoSpaceDN w:val="0"/>
        <w:adjustRightInd w:val="0"/>
        <w:rPr>
          <w:rFonts w:ascii="Arial" w:hAnsi="Arial" w:cs="Arial"/>
          <w:color w:val="000000"/>
          <w:sz w:val="20"/>
          <w:szCs w:val="20"/>
        </w:rPr>
      </w:pPr>
    </w:p>
    <w:p w:rsidR="0041058C" w:rsidRPr="00DD1EEE" w:rsidRDefault="00EB2871" w:rsidP="00FA0026">
      <w:pPr>
        <w:pStyle w:val="daljsinaslov"/>
        <w:spacing w:before="0" w:beforeAutospacing="0" w:after="0" w:afterAutospacing="0"/>
        <w:rPr>
          <w:rFonts w:ascii="Arial" w:hAnsi="Arial" w:cs="Arial"/>
          <w:sz w:val="20"/>
          <w:szCs w:val="20"/>
        </w:rPr>
      </w:pPr>
      <w:r w:rsidRPr="00EB2871">
        <w:rPr>
          <w:rFonts w:ascii="Arial" w:hAnsi="Arial" w:cs="Arial"/>
          <w:b/>
          <w:noProof/>
          <w:sz w:val="20"/>
          <w:szCs w:val="20"/>
          <w:lang w:val="en-US" w:eastAsia="zh-TW"/>
        </w:rPr>
        <w:pict>
          <v:shapetype id="_x0000_t202" coordsize="21600,21600" o:spt="202" path="m,l,21600r21600,l21600,xe">
            <v:stroke joinstyle="miter"/>
            <v:path gradientshapeok="t" o:connecttype="rect"/>
          </v:shapetype>
          <v:shape id="_x0000_s1026" type="#_x0000_t202" style="position:absolute;margin-left:-5.7pt;margin-top:494.35pt;width:497.25pt;height:25.6pt;z-index:251660288;mso-height-percent:200;mso-height-percent:200;mso-width-relative:margin;mso-height-relative:margin" stroked="f">
            <v:textbox style="mso-fit-shape-to-text:t">
              <w:txbxContent>
                <w:p w:rsidR="00FA0026" w:rsidRPr="00FA0026" w:rsidRDefault="00FA0026" w:rsidP="00FA0026">
                  <w:pPr>
                    <w:pStyle w:val="tekstsporocila"/>
                    <w:spacing w:before="0" w:beforeAutospacing="0" w:after="0" w:afterAutospacing="0"/>
                    <w:rPr>
                      <w:rFonts w:ascii="Arial" w:hAnsi="Arial" w:cs="Arial"/>
                      <w:sz w:val="16"/>
                      <w:szCs w:val="16"/>
                    </w:rPr>
                  </w:pPr>
                  <w:r w:rsidRPr="00FA0026">
                    <w:rPr>
                      <w:rFonts w:ascii="Arial" w:hAnsi="Arial" w:cs="Arial"/>
                      <w:b/>
                      <w:sz w:val="16"/>
                      <w:szCs w:val="16"/>
                    </w:rPr>
                    <w:t>Dodatna pojasnila:</w:t>
                  </w:r>
                  <w:r w:rsidRPr="00FA0026">
                    <w:rPr>
                      <w:rFonts w:ascii="Arial" w:hAnsi="Arial" w:cs="Arial"/>
                      <w:sz w:val="16"/>
                      <w:szCs w:val="16"/>
                    </w:rPr>
                    <w:t xml:space="preserve"> Jelka Novak </w:t>
                  </w:r>
                  <w:proofErr w:type="spellStart"/>
                  <w:r w:rsidRPr="00FA0026">
                    <w:rPr>
                      <w:rFonts w:ascii="Arial" w:hAnsi="Arial" w:cs="Arial"/>
                      <w:sz w:val="16"/>
                      <w:szCs w:val="16"/>
                    </w:rPr>
                    <w:t>Katona</w:t>
                  </w:r>
                  <w:proofErr w:type="spellEnd"/>
                  <w:r w:rsidRPr="00FA0026">
                    <w:rPr>
                      <w:rFonts w:ascii="Arial" w:hAnsi="Arial" w:cs="Arial"/>
                      <w:sz w:val="16"/>
                      <w:szCs w:val="16"/>
                    </w:rPr>
                    <w:t>, svetovalka za odnose z javnostmi, vodja Korporativnih komunikacij, SKB d. d., telefon: (01) 471 59 79, elektronski naslov: jelka.novak-katona@skb.si</w:t>
                  </w:r>
                </w:p>
              </w:txbxContent>
            </v:textbox>
          </v:shape>
        </w:pict>
      </w:r>
      <w:r w:rsidR="00DD1EEE" w:rsidRPr="00DD1EEE">
        <w:rPr>
          <w:rStyle w:val="Strong"/>
          <w:rFonts w:ascii="Arial" w:hAnsi="Arial" w:cs="Arial"/>
          <w:color w:val="000000"/>
          <w:sz w:val="20"/>
          <w:szCs w:val="20"/>
          <w:shd w:val="clear" w:color="auto" w:fill="FFFFFF"/>
        </w:rPr>
        <w:t xml:space="preserve">Gerald </w:t>
      </w:r>
      <w:proofErr w:type="spellStart"/>
      <w:r w:rsidR="00DD1EEE" w:rsidRPr="00DD1EEE">
        <w:rPr>
          <w:rStyle w:val="Strong"/>
          <w:rFonts w:ascii="Arial" w:hAnsi="Arial" w:cs="Arial"/>
          <w:color w:val="000000"/>
          <w:sz w:val="20"/>
          <w:szCs w:val="20"/>
          <w:shd w:val="clear" w:color="auto" w:fill="FFFFFF"/>
        </w:rPr>
        <w:t>Lacaze</w:t>
      </w:r>
      <w:proofErr w:type="spellEnd"/>
      <w:r w:rsidR="00DD1EEE" w:rsidRPr="00DD1EEE">
        <w:rPr>
          <w:rStyle w:val="Strong"/>
          <w:rFonts w:ascii="Arial" w:hAnsi="Arial" w:cs="Arial"/>
          <w:b w:val="0"/>
          <w:color w:val="000000"/>
          <w:sz w:val="20"/>
          <w:szCs w:val="20"/>
          <w:shd w:val="clear" w:color="auto" w:fill="FFFFFF"/>
        </w:rPr>
        <w:t>, glavni izvršni direktor SKB je uspešno zaklj</w:t>
      </w:r>
      <w:r w:rsidR="00FA0026">
        <w:rPr>
          <w:rStyle w:val="Strong"/>
          <w:rFonts w:ascii="Arial" w:hAnsi="Arial" w:cs="Arial"/>
          <w:b w:val="0"/>
          <w:color w:val="000000"/>
          <w:sz w:val="20"/>
          <w:szCs w:val="20"/>
          <w:shd w:val="clear" w:color="auto" w:fill="FFFFFF"/>
        </w:rPr>
        <w:t>učeno poslovno leto komentiral: »</w:t>
      </w:r>
      <w:r w:rsidR="00DD1EEE" w:rsidRPr="00DD1EEE">
        <w:rPr>
          <w:rStyle w:val="Strong"/>
          <w:rFonts w:ascii="Arial" w:hAnsi="Arial" w:cs="Arial"/>
          <w:b w:val="0"/>
          <w:color w:val="000000"/>
          <w:sz w:val="20"/>
          <w:szCs w:val="20"/>
          <w:shd w:val="clear" w:color="auto" w:fill="FFFFFF"/>
        </w:rPr>
        <w:t>SKB je tudi v letu 2011 dokazala svojo trdnost in moč ter kakovost svojih produktov, storitev in zaposlenih. Poslovni rezultati pričajo, da smo na pravi poti. Zadovoljstvo strank je in ostaja merilo naše uspešnosti. Tudi v prihodnje bomo i</w:t>
      </w:r>
      <w:r w:rsidR="00DD1EEE" w:rsidRPr="00DD1EEE">
        <w:rPr>
          <w:rFonts w:ascii="Arial" w:hAnsi="Arial" w:cs="Arial"/>
          <w:sz w:val="20"/>
          <w:szCs w:val="20"/>
        </w:rPr>
        <w:t xml:space="preserve">zboljševali svojo ponudbo in si prizadevali za dobre odnose s strankami. Preudarno bomo upravljali s stroški in tveganji in nenehno iskali sinergije med svojimi osnovnimi dejavnostmi. </w:t>
      </w:r>
      <w:r w:rsidR="00DD1EEE" w:rsidRPr="00DD1EEE">
        <w:rPr>
          <w:rStyle w:val="Strong"/>
          <w:rFonts w:ascii="Arial" w:hAnsi="Arial" w:cs="Arial"/>
          <w:b w:val="0"/>
          <w:color w:val="000000"/>
          <w:sz w:val="20"/>
          <w:szCs w:val="20"/>
          <w:shd w:val="clear" w:color="auto" w:fill="FFFFFF"/>
        </w:rPr>
        <w:t>Pred nami je brez dvoma še eno težavno leto, a v SKB smo prilagodljivi in dojemljivi za nove priložnosti.«</w:t>
      </w:r>
    </w:p>
    <w:sectPr w:rsidR="0041058C" w:rsidRPr="00DD1EEE" w:rsidSect="00DD1EEE">
      <w:headerReference w:type="default" r:id="rId7"/>
      <w:footerReference w:type="default" r:id="rId8"/>
      <w:headerReference w:type="first" r:id="rId9"/>
      <w:footerReference w:type="first" r:id="rId10"/>
      <w:type w:val="continuous"/>
      <w:pgSz w:w="11906" w:h="16838" w:code="9"/>
      <w:pgMar w:top="2098" w:right="1106" w:bottom="993" w:left="1134" w:header="0" w:footer="0"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93E" w:rsidRDefault="00A5093E">
      <w:r>
        <w:separator/>
      </w:r>
    </w:p>
  </w:endnote>
  <w:endnote w:type="continuationSeparator" w:id="0">
    <w:p w:rsidR="00A5093E" w:rsidRDefault="00A5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Arial">
    <w:panose1 w:val="020B0604020202020204"/>
    <w:charset w:val="EE"/>
    <w:family w:val="swiss"/>
    <w:pitch w:val="variable"/>
    <w:sig w:usb0="20002A87" w:usb1="80000000" w:usb2="00000008" w:usb3="00000000" w:csb0="000001FF" w:csb1="00000000"/>
  </w:font>
  <w:font w:name="LucidaT">
    <w:altName w:val="Lucida Sans Unicode"/>
    <w:charset w:val="00"/>
    <w:family w:val="auto"/>
    <w:pitch w:val="variable"/>
    <w:sig w:usb0="00000007" w:usb1="00000000" w:usb2="00000000" w:usb3="00000000" w:csb0="00000013" w:csb1="00000000"/>
  </w:font>
  <w:font w:name="HelveticaCondensed">
    <w:altName w:val="Courier New"/>
    <w:charset w:val="00"/>
    <w:family w:val="auto"/>
    <w:pitch w:val="variable"/>
    <w:sig w:usb0="00000003" w:usb1="00000000" w:usb2="00000000" w:usb3="00000000" w:csb0="00000001" w:csb1="00000000"/>
  </w:font>
  <w:font w:name="Gill Sans (TT) Bold Italic">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Portugal">
    <w:altName w:val="Times New Roman"/>
    <w:panose1 w:val="00000000000000000000"/>
    <w:charset w:val="00"/>
    <w:family w:val="roman"/>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emperor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18A" w:rsidRDefault="00EB2871">
    <w:pPr>
      <w:pStyle w:val="Footer"/>
      <w:tabs>
        <w:tab w:val="clear" w:pos="9072"/>
        <w:tab w:val="right" w:pos="9720"/>
      </w:tabs>
      <w:ind w:right="-54"/>
    </w:pPr>
    <w:r w:rsidRPr="00EB2871">
      <w:rPr>
        <w:noProof/>
        <w:sz w:val="20"/>
      </w:rPr>
      <w:pict>
        <v:shapetype id="_x0000_t202" coordsize="21600,21600" o:spt="202" path="m,l,21600r21600,l21600,xe">
          <v:stroke joinstyle="miter"/>
          <v:path gradientshapeok="t" o:connecttype="rect"/>
        </v:shapetype>
        <v:shape id="_x0000_s2051" type="#_x0000_t202" style="position:absolute;margin-left:430.9pt;margin-top:806.55pt;width:108pt;height:9pt;z-index:-251658240;mso-wrap-edited:f;mso-position-horizontal-relative:page;mso-position-vertical-relative:page" wrapcoords="0 0 21600 0 21600 21600 0 21600 0 0" filled="f" stroked="f">
          <v:textbox style="mso-next-textbox:#_x0000_s2051" inset="0,0,0,0">
            <w:txbxContent>
              <w:p w:rsidR="0049618A" w:rsidRDefault="00EB2871">
                <w:pPr>
                  <w:jc w:val="right"/>
                  <w:rPr>
                    <w:rFonts w:ascii="Arial" w:hAnsi="Arial" w:cs="Arial"/>
                    <w:sz w:val="12"/>
                  </w:rPr>
                </w:pPr>
                <w:r>
                  <w:rPr>
                    <w:rStyle w:val="PageNumber"/>
                    <w:rFonts w:ascii="Arial" w:hAnsi="Arial" w:cs="Arial"/>
                    <w:sz w:val="12"/>
                  </w:rPr>
                  <w:fldChar w:fldCharType="begin"/>
                </w:r>
                <w:r w:rsidR="0049618A">
                  <w:rPr>
                    <w:rStyle w:val="PageNumber"/>
                    <w:rFonts w:ascii="Arial" w:hAnsi="Arial" w:cs="Arial"/>
                    <w:sz w:val="12"/>
                  </w:rPr>
                  <w:instrText xml:space="preserve"> PAGE </w:instrText>
                </w:r>
                <w:r>
                  <w:rPr>
                    <w:rStyle w:val="PageNumber"/>
                    <w:rFonts w:ascii="Arial" w:hAnsi="Arial" w:cs="Arial"/>
                    <w:sz w:val="12"/>
                  </w:rPr>
                  <w:fldChar w:fldCharType="separate"/>
                </w:r>
                <w:r w:rsidR="00976288">
                  <w:rPr>
                    <w:rStyle w:val="PageNumber"/>
                    <w:rFonts w:ascii="Arial" w:hAnsi="Arial" w:cs="Arial"/>
                    <w:noProof/>
                    <w:sz w:val="12"/>
                  </w:rPr>
                  <w:t>2</w:t>
                </w:r>
                <w:r>
                  <w:rPr>
                    <w:rStyle w:val="PageNumber"/>
                    <w:rFonts w:ascii="Arial" w:hAnsi="Arial" w:cs="Arial"/>
                    <w:sz w:val="12"/>
                  </w:rPr>
                  <w:fldChar w:fldCharType="end"/>
                </w:r>
                <w:r w:rsidR="0049618A">
                  <w:rPr>
                    <w:rStyle w:val="PageNumber"/>
                    <w:rFonts w:ascii="Arial" w:hAnsi="Arial" w:cs="Arial"/>
                    <w:sz w:val="12"/>
                  </w:rPr>
                  <w:t>/</w:t>
                </w:r>
                <w:r>
                  <w:rPr>
                    <w:rStyle w:val="PageNumber"/>
                    <w:rFonts w:ascii="Arial" w:hAnsi="Arial" w:cs="Arial"/>
                    <w:sz w:val="12"/>
                  </w:rPr>
                  <w:fldChar w:fldCharType="begin"/>
                </w:r>
                <w:r w:rsidR="0049618A">
                  <w:rPr>
                    <w:rStyle w:val="PageNumber"/>
                    <w:rFonts w:ascii="Arial" w:hAnsi="Arial" w:cs="Arial"/>
                    <w:sz w:val="12"/>
                  </w:rPr>
                  <w:instrText xml:space="preserve"> NUMPAGES </w:instrText>
                </w:r>
                <w:r>
                  <w:rPr>
                    <w:rStyle w:val="PageNumber"/>
                    <w:rFonts w:ascii="Arial" w:hAnsi="Arial" w:cs="Arial"/>
                    <w:sz w:val="12"/>
                  </w:rPr>
                  <w:fldChar w:fldCharType="separate"/>
                </w:r>
                <w:r w:rsidR="00976288">
                  <w:rPr>
                    <w:rStyle w:val="PageNumber"/>
                    <w:rFonts w:ascii="Arial" w:hAnsi="Arial" w:cs="Arial"/>
                    <w:noProof/>
                    <w:sz w:val="12"/>
                  </w:rPr>
                  <w:t>3</w:t>
                </w:r>
                <w:r>
                  <w:rPr>
                    <w:rStyle w:val="PageNumber"/>
                    <w:rFonts w:ascii="Arial" w:hAnsi="Arial" w:cs="Arial"/>
                    <w:sz w:val="12"/>
                  </w:rPr>
                  <w:fldChar w:fldCharType="end"/>
                </w:r>
              </w:p>
            </w:txbxContent>
          </v:textbox>
          <w10:wrap anchorx="page" anchory="page"/>
          <w10:anchorlock/>
        </v:shape>
      </w:pict>
    </w:r>
    <w:r w:rsidR="00805922">
      <w:rPr>
        <w:noProof/>
        <w:sz w:val="20"/>
      </w:rPr>
      <w:drawing>
        <wp:anchor distT="0" distB="0" distL="114300" distR="114300" simplePos="0" relativeHeight="251657216" behindDoc="1" locked="0" layoutInCell="1" allowOverlap="1">
          <wp:simplePos x="0" y="0"/>
          <wp:positionH relativeFrom="column">
            <wp:posOffset>0</wp:posOffset>
          </wp:positionH>
          <wp:positionV relativeFrom="paragraph">
            <wp:posOffset>-345440</wp:posOffset>
          </wp:positionV>
          <wp:extent cx="6120130" cy="519430"/>
          <wp:effectExtent l="19050" t="0" r="0" b="0"/>
          <wp:wrapNone/>
          <wp:docPr id="4" name="Picture 2" descr="noga-pogodb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ga-pogodba_2"/>
                  <pic:cNvPicPr>
                    <a:picLocks noChangeAspect="1" noChangeArrowheads="1"/>
                  </pic:cNvPicPr>
                </pic:nvPicPr>
                <pic:blipFill>
                  <a:blip r:embed="rId1"/>
                  <a:srcRect/>
                  <a:stretch>
                    <a:fillRect/>
                  </a:stretch>
                </pic:blipFill>
                <pic:spPr bwMode="auto">
                  <a:xfrm>
                    <a:off x="0" y="0"/>
                    <a:ext cx="6120130" cy="519430"/>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18A" w:rsidRDefault="00EB2871">
    <w:pPr>
      <w:pStyle w:val="Footer"/>
    </w:pPr>
    <w:r w:rsidRPr="00EB2871">
      <w:rPr>
        <w:noProof/>
        <w:sz w:val="20"/>
      </w:rPr>
      <w:pict>
        <v:shapetype id="_x0000_t202" coordsize="21600,21600" o:spt="202" path="m,l,21600r21600,l21600,xe">
          <v:stroke joinstyle="miter"/>
          <v:path gradientshapeok="t" o:connecttype="rect"/>
        </v:shapetype>
        <v:shape id="_x0000_s2052" type="#_x0000_t202" style="position:absolute;margin-left:457.9pt;margin-top:803.65pt;width:81pt;height:12.45pt;z-index:251659264;mso-position-horizontal-relative:page;mso-position-vertical-relative:page" o:allowoverlap="f" filled="f" stroked="f">
          <v:textbox style="mso-next-textbox:#_x0000_s2052" inset="0,1.2mm,0,0">
            <w:txbxContent>
              <w:p w:rsidR="0049618A" w:rsidRPr="00F15F7F" w:rsidRDefault="0049618A" w:rsidP="00F15F7F"/>
            </w:txbxContent>
          </v:textbox>
          <w10:wrap anchorx="page" anchory="page"/>
          <w10:anchorlock/>
        </v:shape>
      </w:pict>
    </w:r>
    <w:r w:rsidRPr="00EB2871">
      <w:rPr>
        <w:noProof/>
        <w:sz w:val="20"/>
      </w:rPr>
      <w:pict>
        <v:shape id="_x0000_s2049" type="#_x0000_t202" style="position:absolute;margin-left:430.9pt;margin-top:792.4pt;width:108pt;height:8.95pt;z-index:-251660288;mso-wrap-edited:f;mso-position-horizontal-relative:page;mso-position-vertical-relative:page" wrapcoords="0 0 21600 0 21600 21600 0 21600 0 0" filled="f" stroked="f">
          <v:textbox style="mso-next-textbox:#_x0000_s2049" inset="0,0,0,0">
            <w:txbxContent>
              <w:p w:rsidR="0049618A" w:rsidRDefault="0049618A">
                <w:pPr>
                  <w:jc w:val="right"/>
                  <w:rPr>
                    <w:rFonts w:ascii="Arial" w:hAnsi="Arial" w:cs="Arial"/>
                    <w:sz w:val="12"/>
                  </w:rPr>
                </w:pPr>
                <w:r>
                  <w:rPr>
                    <w:rFonts w:ascii="Arial" w:hAnsi="Arial" w:cs="Arial"/>
                    <w:sz w:val="12"/>
                  </w:rPr>
                  <w:t>1/</w:t>
                </w:r>
                <w:r w:rsidR="00EB2871">
                  <w:rPr>
                    <w:rStyle w:val="PageNumber"/>
                    <w:rFonts w:ascii="Arial" w:hAnsi="Arial" w:cs="Arial"/>
                    <w:sz w:val="12"/>
                  </w:rPr>
                  <w:fldChar w:fldCharType="begin"/>
                </w:r>
                <w:r>
                  <w:rPr>
                    <w:rStyle w:val="PageNumber"/>
                    <w:rFonts w:ascii="Arial" w:hAnsi="Arial" w:cs="Arial"/>
                    <w:sz w:val="12"/>
                  </w:rPr>
                  <w:instrText xml:space="preserve"> NUMPAGES </w:instrText>
                </w:r>
                <w:r w:rsidR="00EB2871">
                  <w:rPr>
                    <w:rStyle w:val="PageNumber"/>
                    <w:rFonts w:ascii="Arial" w:hAnsi="Arial" w:cs="Arial"/>
                    <w:sz w:val="12"/>
                  </w:rPr>
                  <w:fldChar w:fldCharType="separate"/>
                </w:r>
                <w:r w:rsidR="00976288">
                  <w:rPr>
                    <w:rStyle w:val="PageNumber"/>
                    <w:rFonts w:ascii="Arial" w:hAnsi="Arial" w:cs="Arial"/>
                    <w:noProof/>
                    <w:sz w:val="12"/>
                  </w:rPr>
                  <w:t>3</w:t>
                </w:r>
                <w:r w:rsidR="00EB2871">
                  <w:rPr>
                    <w:rStyle w:val="PageNumber"/>
                    <w:rFonts w:ascii="Arial" w:hAnsi="Arial" w:cs="Arial"/>
                    <w:sz w:val="12"/>
                  </w:rPr>
                  <w:fldChar w:fldCharType="end"/>
                </w:r>
              </w:p>
            </w:txbxContent>
          </v:textbox>
          <w10:wrap anchorx="page" anchory="page"/>
          <w10:anchorlock/>
        </v:shape>
      </w:pict>
    </w:r>
    <w:r w:rsidR="00805922">
      <w:rPr>
        <w:noProof/>
      </w:rPr>
      <w:drawing>
        <wp:inline distT="0" distB="0" distL="0" distR="0">
          <wp:extent cx="6124575" cy="514350"/>
          <wp:effectExtent l="19050" t="0" r="9525" b="0"/>
          <wp:docPr id="3" name="Picture 3" descr="Noga-visoka-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ga-visoka-slo"/>
                  <pic:cNvPicPr>
                    <a:picLocks noChangeAspect="1" noChangeArrowheads="1"/>
                  </pic:cNvPicPr>
                </pic:nvPicPr>
                <pic:blipFill>
                  <a:blip r:embed="rId1"/>
                  <a:srcRect/>
                  <a:stretch>
                    <a:fillRect/>
                  </a:stretch>
                </pic:blipFill>
                <pic:spPr bwMode="auto">
                  <a:xfrm>
                    <a:off x="0" y="0"/>
                    <a:ext cx="6124575" cy="5143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93E" w:rsidRDefault="00A5093E">
      <w:r>
        <w:separator/>
      </w:r>
    </w:p>
  </w:footnote>
  <w:footnote w:type="continuationSeparator" w:id="0">
    <w:p w:rsidR="00A5093E" w:rsidRDefault="00A5093E">
      <w:r>
        <w:continuationSeparator/>
      </w:r>
    </w:p>
  </w:footnote>
  <w:footnote w:id="1">
    <w:p w:rsidR="00DD1EEE" w:rsidRPr="00DD1EEE" w:rsidRDefault="00DD1EEE" w:rsidP="00DD1EEE">
      <w:pPr>
        <w:pStyle w:val="FootnoteText"/>
        <w:rPr>
          <w:rFonts w:ascii="Arial" w:hAnsi="Arial" w:cs="Arial"/>
          <w:sz w:val="16"/>
          <w:szCs w:val="16"/>
        </w:rPr>
      </w:pPr>
      <w:r w:rsidRPr="00DD1EEE">
        <w:rPr>
          <w:rStyle w:val="FootnoteReference"/>
          <w:rFonts w:ascii="Arial" w:hAnsi="Arial" w:cs="Arial"/>
          <w:sz w:val="16"/>
          <w:szCs w:val="16"/>
        </w:rPr>
        <w:footnoteRef/>
      </w:r>
      <w:r w:rsidRPr="00DD1EEE">
        <w:rPr>
          <w:rFonts w:ascii="Arial" w:hAnsi="Arial" w:cs="Arial"/>
          <w:sz w:val="16"/>
          <w:szCs w:val="16"/>
        </w:rPr>
        <w:t xml:space="preserve"> Skupino SKB sestavljata banka SKB in SKB </w:t>
      </w:r>
      <w:proofErr w:type="spellStart"/>
      <w:r w:rsidRPr="00DD1EEE">
        <w:rPr>
          <w:rFonts w:ascii="Arial" w:hAnsi="Arial" w:cs="Arial"/>
          <w:sz w:val="16"/>
          <w:szCs w:val="16"/>
        </w:rPr>
        <w:t>Leasing</w:t>
      </w:r>
      <w:proofErr w:type="spellEnd"/>
      <w:r w:rsidRPr="00DD1EEE">
        <w:rPr>
          <w:rFonts w:ascii="Arial" w:hAnsi="Arial" w:cs="Arial"/>
          <w:sz w:val="16"/>
          <w:szCs w:val="16"/>
        </w:rPr>
        <w:t xml:space="preserve">. Gre za nerevidirane finančne podatke.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18A" w:rsidRDefault="00805922">
    <w:pPr>
      <w:pStyle w:val="Header"/>
    </w:pPr>
    <w:r>
      <w:rPr>
        <w:noProof/>
      </w:rPr>
      <w:drawing>
        <wp:inline distT="0" distB="0" distL="0" distR="0">
          <wp:extent cx="6124575" cy="1200150"/>
          <wp:effectExtent l="19050" t="0" r="9525" b="0"/>
          <wp:docPr id="1" name="Picture 1" descr="glava-obrazec_SL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obrazec_SLO-2"/>
                  <pic:cNvPicPr>
                    <a:picLocks noChangeAspect="1" noChangeArrowheads="1"/>
                  </pic:cNvPicPr>
                </pic:nvPicPr>
                <pic:blipFill>
                  <a:blip r:embed="rId1"/>
                  <a:srcRect/>
                  <a:stretch>
                    <a:fillRect/>
                  </a:stretch>
                </pic:blipFill>
                <pic:spPr bwMode="auto">
                  <a:xfrm>
                    <a:off x="0" y="0"/>
                    <a:ext cx="6124575" cy="12001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18A" w:rsidRDefault="00805922">
    <w:pPr>
      <w:pStyle w:val="Header"/>
    </w:pPr>
    <w:r>
      <w:rPr>
        <w:noProof/>
      </w:rPr>
      <w:drawing>
        <wp:inline distT="0" distB="0" distL="0" distR="0">
          <wp:extent cx="6124575" cy="1190625"/>
          <wp:effectExtent l="19050" t="0" r="9525" b="0"/>
          <wp:docPr id="2" name="Picture 2" descr="glava rdec logo RD crta v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va rdec logo RD crta vse"/>
                  <pic:cNvPicPr>
                    <a:picLocks noChangeAspect="1" noChangeArrowheads="1"/>
                  </pic:cNvPicPr>
                </pic:nvPicPr>
                <pic:blipFill>
                  <a:blip r:embed="rId1"/>
                  <a:srcRect/>
                  <a:stretch>
                    <a:fillRect/>
                  </a:stretch>
                </pic:blipFill>
                <pic:spPr bwMode="auto">
                  <a:xfrm>
                    <a:off x="0" y="0"/>
                    <a:ext cx="6124575" cy="11906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7A4"/>
    <w:multiLevelType w:val="hybridMultilevel"/>
    <w:tmpl w:val="4BB60146"/>
    <w:lvl w:ilvl="0" w:tplc="040C0013">
      <w:start w:val="1"/>
      <w:numFmt w:val="upperRoman"/>
      <w:lvlText w:val="%1."/>
      <w:lvlJc w:val="right"/>
      <w:pPr>
        <w:tabs>
          <w:tab w:val="num" w:pos="180"/>
        </w:tabs>
        <w:ind w:left="180" w:hanging="180"/>
      </w:pPr>
      <w:rPr>
        <w:b/>
      </w:rPr>
    </w:lvl>
    <w:lvl w:ilvl="1" w:tplc="8A74FEEC">
      <w:start w:val="1"/>
      <w:numFmt w:val="decimal"/>
      <w:lvlText w:val="%2."/>
      <w:lvlJc w:val="left"/>
      <w:pPr>
        <w:tabs>
          <w:tab w:val="num" w:pos="1495"/>
        </w:tabs>
        <w:ind w:left="1495" w:hanging="360"/>
      </w:pPr>
      <w:rPr>
        <w:b w:val="0"/>
      </w:rPr>
    </w:lvl>
    <w:lvl w:ilvl="2" w:tplc="BE1482D0">
      <w:start w:val="1"/>
      <w:numFmt w:val="bullet"/>
      <w:lvlText w:val=""/>
      <w:lvlJc w:val="left"/>
      <w:pPr>
        <w:tabs>
          <w:tab w:val="num" w:pos="2340"/>
        </w:tabs>
        <w:ind w:left="2340" w:hanging="360"/>
      </w:pPr>
      <w:rPr>
        <w:rFonts w:ascii="Wingdings" w:hAnsi="Wingdings" w:hint="default"/>
        <w:b/>
        <w:color w:val="E60028"/>
      </w:rPr>
    </w:lvl>
    <w:lvl w:ilvl="3" w:tplc="9D461252">
      <w:start w:val="1"/>
      <w:numFmt w:val="decimal"/>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1B81F74"/>
    <w:multiLevelType w:val="hybridMultilevel"/>
    <w:tmpl w:val="E5BABA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9540899"/>
    <w:multiLevelType w:val="hybridMultilevel"/>
    <w:tmpl w:val="E7263F2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1F524796"/>
    <w:multiLevelType w:val="hybridMultilevel"/>
    <w:tmpl w:val="F034A52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nsid w:val="28B5615F"/>
    <w:multiLevelType w:val="hybridMultilevel"/>
    <w:tmpl w:val="64AC9C2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3E545AC5"/>
    <w:multiLevelType w:val="multilevel"/>
    <w:tmpl w:val="45344EB4"/>
    <w:lvl w:ilvl="0">
      <w:start w:val="1"/>
      <w:numFmt w:val="upperRoman"/>
      <w:lvlText w:val="%1."/>
      <w:lvlJc w:val="right"/>
      <w:pPr>
        <w:tabs>
          <w:tab w:val="num" w:pos="180"/>
        </w:tabs>
        <w:ind w:left="180" w:hanging="180"/>
      </w:pPr>
      <w:rPr>
        <w:b/>
      </w:rPr>
    </w:lvl>
    <w:lvl w:ilvl="1">
      <w:start w:val="1"/>
      <w:numFmt w:val="decimal"/>
      <w:lvlText w:val="%2."/>
      <w:lvlJc w:val="left"/>
      <w:pPr>
        <w:tabs>
          <w:tab w:val="num" w:pos="1495"/>
        </w:tabs>
        <w:ind w:left="1495" w:hanging="360"/>
      </w:pPr>
      <w:rPr>
        <w:b w:val="0"/>
      </w:rPr>
    </w:lvl>
    <w:lvl w:ilvl="2">
      <w:start w:val="1"/>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C8A0FA6"/>
    <w:multiLevelType w:val="hybridMultilevel"/>
    <w:tmpl w:val="0D3E67BA"/>
    <w:lvl w:ilvl="0" w:tplc="7548C2D0">
      <w:start w:val="1"/>
      <w:numFmt w:val="bullet"/>
      <w:lvlText w:val=""/>
      <w:lvlJc w:val="left"/>
      <w:pPr>
        <w:ind w:left="720" w:hanging="360"/>
      </w:pPr>
      <w:rPr>
        <w:rFonts w:ascii="Wingdings" w:hAnsi="Wingdings" w:hint="default"/>
        <w:color w:val="E60028"/>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C970EF2"/>
    <w:multiLevelType w:val="hybridMultilevel"/>
    <w:tmpl w:val="DA7201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ED040C3"/>
    <w:multiLevelType w:val="hybridMultilevel"/>
    <w:tmpl w:val="8F36914E"/>
    <w:lvl w:ilvl="0" w:tplc="04240005">
      <w:start w:val="1"/>
      <w:numFmt w:val="bullet"/>
      <w:lvlText w:val=""/>
      <w:lvlJc w:val="left"/>
      <w:pPr>
        <w:tabs>
          <w:tab w:val="num" w:pos="587"/>
        </w:tabs>
        <w:ind w:left="587" w:hanging="360"/>
      </w:pPr>
      <w:rPr>
        <w:rFonts w:ascii="Wingdings" w:hAnsi="Wingdings" w:hint="default"/>
      </w:rPr>
    </w:lvl>
    <w:lvl w:ilvl="1" w:tplc="04240003" w:tentative="1">
      <w:start w:val="1"/>
      <w:numFmt w:val="bullet"/>
      <w:lvlText w:val="o"/>
      <w:lvlJc w:val="left"/>
      <w:pPr>
        <w:tabs>
          <w:tab w:val="num" w:pos="1307"/>
        </w:tabs>
        <w:ind w:left="1307" w:hanging="360"/>
      </w:pPr>
      <w:rPr>
        <w:rFonts w:ascii="Courier New" w:hAnsi="Courier New" w:hint="default"/>
      </w:rPr>
    </w:lvl>
    <w:lvl w:ilvl="2" w:tplc="04240005" w:tentative="1">
      <w:start w:val="1"/>
      <w:numFmt w:val="bullet"/>
      <w:lvlText w:val=""/>
      <w:lvlJc w:val="left"/>
      <w:pPr>
        <w:tabs>
          <w:tab w:val="num" w:pos="2027"/>
        </w:tabs>
        <w:ind w:left="2027" w:hanging="360"/>
      </w:pPr>
      <w:rPr>
        <w:rFonts w:ascii="Wingdings" w:hAnsi="Wingdings" w:hint="default"/>
      </w:rPr>
    </w:lvl>
    <w:lvl w:ilvl="3" w:tplc="04240001" w:tentative="1">
      <w:start w:val="1"/>
      <w:numFmt w:val="bullet"/>
      <w:lvlText w:val=""/>
      <w:lvlJc w:val="left"/>
      <w:pPr>
        <w:tabs>
          <w:tab w:val="num" w:pos="2747"/>
        </w:tabs>
        <w:ind w:left="2747" w:hanging="360"/>
      </w:pPr>
      <w:rPr>
        <w:rFonts w:ascii="Symbol" w:hAnsi="Symbol" w:hint="default"/>
      </w:rPr>
    </w:lvl>
    <w:lvl w:ilvl="4" w:tplc="04240003" w:tentative="1">
      <w:start w:val="1"/>
      <w:numFmt w:val="bullet"/>
      <w:lvlText w:val="o"/>
      <w:lvlJc w:val="left"/>
      <w:pPr>
        <w:tabs>
          <w:tab w:val="num" w:pos="3467"/>
        </w:tabs>
        <w:ind w:left="3467" w:hanging="360"/>
      </w:pPr>
      <w:rPr>
        <w:rFonts w:ascii="Courier New" w:hAnsi="Courier New" w:hint="default"/>
      </w:rPr>
    </w:lvl>
    <w:lvl w:ilvl="5" w:tplc="04240005" w:tentative="1">
      <w:start w:val="1"/>
      <w:numFmt w:val="bullet"/>
      <w:lvlText w:val=""/>
      <w:lvlJc w:val="left"/>
      <w:pPr>
        <w:tabs>
          <w:tab w:val="num" w:pos="4187"/>
        </w:tabs>
        <w:ind w:left="4187" w:hanging="360"/>
      </w:pPr>
      <w:rPr>
        <w:rFonts w:ascii="Wingdings" w:hAnsi="Wingdings" w:hint="default"/>
      </w:rPr>
    </w:lvl>
    <w:lvl w:ilvl="6" w:tplc="04240001" w:tentative="1">
      <w:start w:val="1"/>
      <w:numFmt w:val="bullet"/>
      <w:lvlText w:val=""/>
      <w:lvlJc w:val="left"/>
      <w:pPr>
        <w:tabs>
          <w:tab w:val="num" w:pos="4907"/>
        </w:tabs>
        <w:ind w:left="4907" w:hanging="360"/>
      </w:pPr>
      <w:rPr>
        <w:rFonts w:ascii="Symbol" w:hAnsi="Symbol" w:hint="default"/>
      </w:rPr>
    </w:lvl>
    <w:lvl w:ilvl="7" w:tplc="04240003" w:tentative="1">
      <w:start w:val="1"/>
      <w:numFmt w:val="bullet"/>
      <w:lvlText w:val="o"/>
      <w:lvlJc w:val="left"/>
      <w:pPr>
        <w:tabs>
          <w:tab w:val="num" w:pos="5627"/>
        </w:tabs>
        <w:ind w:left="5627" w:hanging="360"/>
      </w:pPr>
      <w:rPr>
        <w:rFonts w:ascii="Courier New" w:hAnsi="Courier New" w:hint="default"/>
      </w:rPr>
    </w:lvl>
    <w:lvl w:ilvl="8" w:tplc="04240005" w:tentative="1">
      <w:start w:val="1"/>
      <w:numFmt w:val="bullet"/>
      <w:lvlText w:val=""/>
      <w:lvlJc w:val="left"/>
      <w:pPr>
        <w:tabs>
          <w:tab w:val="num" w:pos="6347"/>
        </w:tabs>
        <w:ind w:left="6347" w:hanging="360"/>
      </w:pPr>
      <w:rPr>
        <w:rFonts w:ascii="Wingdings" w:hAnsi="Wingdings" w:hint="default"/>
      </w:rPr>
    </w:lvl>
  </w:abstractNum>
  <w:abstractNum w:abstractNumId="9">
    <w:nsid w:val="53D00F31"/>
    <w:multiLevelType w:val="hybridMultilevel"/>
    <w:tmpl w:val="0332D1B0"/>
    <w:lvl w:ilvl="0" w:tplc="7548C2D0">
      <w:start w:val="1"/>
      <w:numFmt w:val="bullet"/>
      <w:lvlText w:val=""/>
      <w:lvlJc w:val="left"/>
      <w:pPr>
        <w:ind w:left="720" w:hanging="360"/>
      </w:pPr>
      <w:rPr>
        <w:rFonts w:ascii="Wingdings" w:hAnsi="Wingdings" w:hint="default"/>
        <w:color w:val="E60028"/>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0A8474F"/>
    <w:multiLevelType w:val="hybridMultilevel"/>
    <w:tmpl w:val="D2BE75B0"/>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nsid w:val="6D732DBA"/>
    <w:multiLevelType w:val="hybridMultilevel"/>
    <w:tmpl w:val="45344EB4"/>
    <w:lvl w:ilvl="0" w:tplc="040C0013">
      <w:start w:val="1"/>
      <w:numFmt w:val="upperRoman"/>
      <w:lvlText w:val="%1."/>
      <w:lvlJc w:val="right"/>
      <w:pPr>
        <w:tabs>
          <w:tab w:val="num" w:pos="180"/>
        </w:tabs>
        <w:ind w:left="180" w:hanging="180"/>
      </w:pPr>
      <w:rPr>
        <w:b/>
      </w:rPr>
    </w:lvl>
    <w:lvl w:ilvl="1" w:tplc="8A74FEEC">
      <w:start w:val="1"/>
      <w:numFmt w:val="decimal"/>
      <w:lvlText w:val="%2."/>
      <w:lvlJc w:val="left"/>
      <w:pPr>
        <w:tabs>
          <w:tab w:val="num" w:pos="1495"/>
        </w:tabs>
        <w:ind w:left="1495" w:hanging="360"/>
      </w:pPr>
      <w:rPr>
        <w:b w:val="0"/>
      </w:rPr>
    </w:lvl>
    <w:lvl w:ilvl="2" w:tplc="7098153C">
      <w:start w:val="1"/>
      <w:numFmt w:val="bullet"/>
      <w:lvlText w:val="-"/>
      <w:lvlJc w:val="left"/>
      <w:pPr>
        <w:tabs>
          <w:tab w:val="num" w:pos="2340"/>
        </w:tabs>
        <w:ind w:left="2340" w:hanging="360"/>
      </w:pPr>
      <w:rPr>
        <w:rFonts w:ascii="Arial" w:eastAsia="Times New Roman" w:hAnsi="Arial" w:cs="Arial" w:hint="default"/>
      </w:rPr>
    </w:lvl>
    <w:lvl w:ilvl="3" w:tplc="9D461252">
      <w:start w:val="1"/>
      <w:numFmt w:val="decimal"/>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0"/>
  </w:num>
  <w:num w:numId="5">
    <w:abstractNumId w:val="3"/>
  </w:num>
  <w:num w:numId="6">
    <w:abstractNumId w:val="11"/>
  </w:num>
  <w:num w:numId="7">
    <w:abstractNumId w:val="5"/>
  </w:num>
  <w:num w:numId="8">
    <w:abstractNumId w:val="0"/>
  </w:num>
  <w:num w:numId="9">
    <w:abstractNumId w:val="7"/>
  </w:num>
  <w:num w:numId="10">
    <w:abstractNumId w:val="1"/>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4B6A01"/>
    <w:rsid w:val="000243E5"/>
    <w:rsid w:val="000316CA"/>
    <w:rsid w:val="000479F1"/>
    <w:rsid w:val="00056BBE"/>
    <w:rsid w:val="000F3941"/>
    <w:rsid w:val="0011615D"/>
    <w:rsid w:val="00141D1B"/>
    <w:rsid w:val="0021663D"/>
    <w:rsid w:val="0025204E"/>
    <w:rsid w:val="002B13D3"/>
    <w:rsid w:val="002C16A3"/>
    <w:rsid w:val="002C356E"/>
    <w:rsid w:val="00303295"/>
    <w:rsid w:val="00312DE1"/>
    <w:rsid w:val="00333B58"/>
    <w:rsid w:val="0034100B"/>
    <w:rsid w:val="00375FC7"/>
    <w:rsid w:val="003C3D0E"/>
    <w:rsid w:val="0041058C"/>
    <w:rsid w:val="00482867"/>
    <w:rsid w:val="0049119E"/>
    <w:rsid w:val="0049618A"/>
    <w:rsid w:val="004A3F0F"/>
    <w:rsid w:val="004B6A01"/>
    <w:rsid w:val="004C0FA3"/>
    <w:rsid w:val="004E5D35"/>
    <w:rsid w:val="005140F6"/>
    <w:rsid w:val="005B0FC1"/>
    <w:rsid w:val="005B3D46"/>
    <w:rsid w:val="005E27D2"/>
    <w:rsid w:val="00685BEA"/>
    <w:rsid w:val="006B3178"/>
    <w:rsid w:val="006B6B25"/>
    <w:rsid w:val="006E1731"/>
    <w:rsid w:val="00712F9D"/>
    <w:rsid w:val="00744B5D"/>
    <w:rsid w:val="007D1CA3"/>
    <w:rsid w:val="007F1289"/>
    <w:rsid w:val="00805922"/>
    <w:rsid w:val="0080771F"/>
    <w:rsid w:val="00812EDB"/>
    <w:rsid w:val="0084463A"/>
    <w:rsid w:val="008447AC"/>
    <w:rsid w:val="008A18B4"/>
    <w:rsid w:val="008E459D"/>
    <w:rsid w:val="00916E45"/>
    <w:rsid w:val="0092626B"/>
    <w:rsid w:val="009276FA"/>
    <w:rsid w:val="009462C3"/>
    <w:rsid w:val="00965258"/>
    <w:rsid w:val="00976288"/>
    <w:rsid w:val="009C4669"/>
    <w:rsid w:val="00A35FBD"/>
    <w:rsid w:val="00A4592A"/>
    <w:rsid w:val="00A501B4"/>
    <w:rsid w:val="00A5093E"/>
    <w:rsid w:val="00A6686E"/>
    <w:rsid w:val="00A956E8"/>
    <w:rsid w:val="00AE7D65"/>
    <w:rsid w:val="00B172E3"/>
    <w:rsid w:val="00BA7AEE"/>
    <w:rsid w:val="00C851D9"/>
    <w:rsid w:val="00C9579E"/>
    <w:rsid w:val="00CF4555"/>
    <w:rsid w:val="00D37E52"/>
    <w:rsid w:val="00D7142F"/>
    <w:rsid w:val="00D8066F"/>
    <w:rsid w:val="00DA1380"/>
    <w:rsid w:val="00DB65F4"/>
    <w:rsid w:val="00DD1EEE"/>
    <w:rsid w:val="00E0013B"/>
    <w:rsid w:val="00E26DE3"/>
    <w:rsid w:val="00EB1D30"/>
    <w:rsid w:val="00EB2871"/>
    <w:rsid w:val="00EE3756"/>
    <w:rsid w:val="00F10050"/>
    <w:rsid w:val="00F12FDF"/>
    <w:rsid w:val="00F15F7F"/>
    <w:rsid w:val="00F428BC"/>
    <w:rsid w:val="00F8599E"/>
    <w:rsid w:val="00F9671C"/>
    <w:rsid w:val="00FA0026"/>
    <w:rsid w:val="00FA3B57"/>
    <w:rsid w:val="00FF30B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EEE"/>
    <w:rPr>
      <w:sz w:val="24"/>
      <w:szCs w:val="24"/>
    </w:rPr>
  </w:style>
  <w:style w:type="paragraph" w:styleId="Heading1">
    <w:name w:val="heading 1"/>
    <w:basedOn w:val="Normal"/>
    <w:next w:val="Normal"/>
    <w:link w:val="Heading1Char"/>
    <w:qFormat/>
    <w:rsid w:val="0092626B"/>
    <w:pPr>
      <w:keepNext/>
      <w:outlineLvl w:val="0"/>
    </w:pPr>
    <w:rPr>
      <w:rFonts w:ascii="LucidaT" w:hAnsi="LucidaT"/>
      <w:b/>
      <w:sz w:val="18"/>
      <w:szCs w:val="20"/>
      <w:u w:val="single"/>
      <w:lang w:val="fr-FR"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4555"/>
    <w:pPr>
      <w:tabs>
        <w:tab w:val="center" w:pos="4536"/>
        <w:tab w:val="right" w:pos="9072"/>
      </w:tabs>
    </w:pPr>
  </w:style>
  <w:style w:type="paragraph" w:styleId="Footer">
    <w:name w:val="footer"/>
    <w:basedOn w:val="Normal"/>
    <w:rsid w:val="00CF4555"/>
    <w:pPr>
      <w:tabs>
        <w:tab w:val="center" w:pos="4536"/>
        <w:tab w:val="right" w:pos="9072"/>
      </w:tabs>
    </w:pPr>
  </w:style>
  <w:style w:type="paragraph" w:customStyle="1" w:styleId="3-Tekst">
    <w:name w:val="3 - Tekst"/>
    <w:basedOn w:val="Normal"/>
    <w:rsid w:val="00CF4555"/>
    <w:pPr>
      <w:tabs>
        <w:tab w:val="left" w:pos="227"/>
        <w:tab w:val="left" w:pos="454"/>
        <w:tab w:val="left" w:pos="680"/>
      </w:tabs>
      <w:autoSpaceDE w:val="0"/>
      <w:autoSpaceDN w:val="0"/>
      <w:adjustRightInd w:val="0"/>
      <w:spacing w:line="260" w:lineRule="atLeast"/>
      <w:jc w:val="both"/>
      <w:textAlignment w:val="center"/>
    </w:pPr>
    <w:rPr>
      <w:rFonts w:ascii="HelveticaCondensed" w:hAnsi="HelveticaCondensed"/>
      <w:color w:val="000000"/>
      <w:sz w:val="22"/>
      <w:szCs w:val="22"/>
      <w:lang w:val="en-US"/>
    </w:rPr>
  </w:style>
  <w:style w:type="character" w:customStyle="1" w:styleId="3-Tekst1">
    <w:name w:val="3 - Tekst1"/>
    <w:rsid w:val="00CF4555"/>
    <w:rPr>
      <w:rFonts w:ascii="HelveticaCondensed" w:hAnsi="HelveticaCondensed"/>
      <w:color w:val="000000"/>
      <w:spacing w:val="0"/>
      <w:w w:val="100"/>
      <w:position w:val="0"/>
      <w:sz w:val="22"/>
      <w:szCs w:val="22"/>
      <w:u w:val="none"/>
      <w:vertAlign w:val="baseline"/>
    </w:rPr>
  </w:style>
  <w:style w:type="character" w:styleId="PageNumber">
    <w:name w:val="page number"/>
    <w:basedOn w:val="DefaultParagraphFont"/>
    <w:rsid w:val="00CF4555"/>
  </w:style>
  <w:style w:type="paragraph" w:customStyle="1" w:styleId="1-Glavninaslov">
    <w:name w:val="1 - Glavni naslov"/>
    <w:basedOn w:val="Normal"/>
    <w:rsid w:val="00CF4555"/>
    <w:pPr>
      <w:suppressAutoHyphens/>
      <w:autoSpaceDE w:val="0"/>
      <w:autoSpaceDN w:val="0"/>
      <w:adjustRightInd w:val="0"/>
      <w:spacing w:line="420" w:lineRule="atLeast"/>
      <w:textAlignment w:val="center"/>
    </w:pPr>
    <w:rPr>
      <w:rFonts w:ascii="Gill Sans (TT) Bold Italic" w:hAnsi="Gill Sans (TT) Bold Italic"/>
      <w:b/>
      <w:bCs/>
      <w:i/>
      <w:iCs/>
      <w:color w:val="26FF72"/>
      <w:spacing w:val="9"/>
      <w:sz w:val="44"/>
      <w:szCs w:val="44"/>
      <w:lang w:val="en-US"/>
    </w:rPr>
  </w:style>
  <w:style w:type="character" w:customStyle="1" w:styleId="1-Glavninaslov1">
    <w:name w:val="1 - Glavni naslov1"/>
    <w:rsid w:val="00CF4555"/>
    <w:rPr>
      <w:rFonts w:ascii="Gill Sans (TT) Bold Italic" w:hAnsi="Gill Sans (TT) Bold Italic"/>
      <w:b/>
      <w:bCs/>
      <w:i/>
      <w:iCs/>
      <w:color w:val="26FF72"/>
      <w:spacing w:val="9"/>
      <w:w w:val="100"/>
      <w:position w:val="0"/>
      <w:sz w:val="44"/>
      <w:szCs w:val="44"/>
      <w:u w:val="none"/>
      <w:vertAlign w:val="baseline"/>
    </w:rPr>
  </w:style>
  <w:style w:type="paragraph" w:customStyle="1" w:styleId="NormalParagraphStyle">
    <w:name w:val="NormalParagraphStyle"/>
    <w:basedOn w:val="Normal"/>
    <w:rsid w:val="00CF4555"/>
    <w:pPr>
      <w:autoSpaceDE w:val="0"/>
      <w:autoSpaceDN w:val="0"/>
      <w:adjustRightInd w:val="0"/>
      <w:spacing w:line="288" w:lineRule="auto"/>
      <w:textAlignment w:val="center"/>
    </w:pPr>
    <w:rPr>
      <w:color w:val="000000"/>
      <w:lang w:val="en-US"/>
    </w:rPr>
  </w:style>
  <w:style w:type="paragraph" w:customStyle="1" w:styleId="3-Tekstbullet">
    <w:name w:val="3 - Tekst bullet"/>
    <w:basedOn w:val="3-Tekst"/>
    <w:rsid w:val="00CF4555"/>
    <w:pPr>
      <w:spacing w:line="240" w:lineRule="atLeast"/>
      <w:ind w:left="227" w:hanging="227"/>
      <w:jc w:val="left"/>
    </w:pPr>
    <w:rPr>
      <w:sz w:val="19"/>
      <w:szCs w:val="19"/>
    </w:rPr>
  </w:style>
  <w:style w:type="character" w:styleId="Hyperlink">
    <w:name w:val="Hyperlink"/>
    <w:basedOn w:val="DefaultParagraphFont"/>
    <w:rsid w:val="00CF4555"/>
    <w:rPr>
      <w:color w:val="0000FF"/>
      <w:u w:val="single"/>
    </w:rPr>
  </w:style>
  <w:style w:type="paragraph" w:styleId="BodyText">
    <w:name w:val="Body Text"/>
    <w:basedOn w:val="Normal"/>
    <w:rsid w:val="00F15F7F"/>
    <w:rPr>
      <w:rFonts w:ascii="Arial Narrow" w:hAnsi="Arial Narrow"/>
      <w:szCs w:val="20"/>
    </w:rPr>
  </w:style>
  <w:style w:type="paragraph" w:styleId="NormalWeb">
    <w:name w:val="Normal (Web)"/>
    <w:basedOn w:val="Normal"/>
    <w:rsid w:val="00F15F7F"/>
    <w:pPr>
      <w:spacing w:before="100" w:beforeAutospacing="1" w:after="100" w:afterAutospacing="1"/>
    </w:pPr>
    <w:rPr>
      <w:rFonts w:ascii="Arial" w:hAnsi="Arial" w:cs="Arial"/>
      <w:color w:val="000000"/>
    </w:rPr>
  </w:style>
  <w:style w:type="paragraph" w:styleId="BodyText2">
    <w:name w:val="Body Text 2"/>
    <w:basedOn w:val="Normal"/>
    <w:rsid w:val="00F15F7F"/>
    <w:pPr>
      <w:spacing w:after="120" w:line="480" w:lineRule="auto"/>
    </w:pPr>
  </w:style>
  <w:style w:type="paragraph" w:styleId="BodyTextIndent">
    <w:name w:val="Body Text Indent"/>
    <w:basedOn w:val="Normal"/>
    <w:rsid w:val="0092626B"/>
    <w:pPr>
      <w:spacing w:after="120"/>
      <w:ind w:left="283"/>
    </w:pPr>
  </w:style>
  <w:style w:type="paragraph" w:customStyle="1" w:styleId="Numrodepage1">
    <w:name w:val="Numéro de page1"/>
    <w:basedOn w:val="Normal"/>
    <w:next w:val="Normal"/>
    <w:rsid w:val="0092626B"/>
    <w:rPr>
      <w:rFonts w:ascii="Portugal" w:hAnsi="Portugal"/>
      <w:sz w:val="20"/>
      <w:szCs w:val="20"/>
      <w:lang w:eastAsia="ja-JP"/>
    </w:rPr>
  </w:style>
  <w:style w:type="paragraph" w:customStyle="1" w:styleId="CENTRE">
    <w:name w:val="CENTRE"/>
    <w:rsid w:val="0092626B"/>
    <w:pPr>
      <w:spacing w:line="240" w:lineRule="exact"/>
      <w:jc w:val="center"/>
    </w:pPr>
    <w:rPr>
      <w:rFonts w:ascii="Bookman" w:hAnsi="Bookman"/>
      <w:lang w:val="fr-FR" w:eastAsia="ja-JP"/>
    </w:rPr>
  </w:style>
  <w:style w:type="paragraph" w:styleId="Title">
    <w:name w:val="Title"/>
    <w:basedOn w:val="Normal"/>
    <w:link w:val="TitleChar"/>
    <w:qFormat/>
    <w:rsid w:val="0092626B"/>
    <w:pPr>
      <w:spacing w:line="240" w:lineRule="atLeast"/>
      <w:jc w:val="center"/>
    </w:pPr>
    <w:rPr>
      <w:rFonts w:ascii="LucidaT" w:hAnsi="LucidaT"/>
      <w:b/>
      <w:sz w:val="20"/>
      <w:szCs w:val="20"/>
      <w:lang w:val="fr-FR" w:eastAsia="fr-FR"/>
    </w:rPr>
  </w:style>
  <w:style w:type="character" w:customStyle="1" w:styleId="Heading1Char">
    <w:name w:val="Heading 1 Char"/>
    <w:basedOn w:val="DefaultParagraphFont"/>
    <w:link w:val="Heading1"/>
    <w:rsid w:val="0092626B"/>
    <w:rPr>
      <w:rFonts w:ascii="LucidaT" w:hAnsi="LucidaT"/>
      <w:b/>
      <w:sz w:val="18"/>
      <w:u w:val="single"/>
      <w:lang w:val="fr-FR" w:eastAsia="ja-JP" w:bidi="ar-SA"/>
    </w:rPr>
  </w:style>
  <w:style w:type="paragraph" w:customStyle="1" w:styleId="default">
    <w:name w:val="default"/>
    <w:basedOn w:val="Normal"/>
    <w:rsid w:val="0092626B"/>
    <w:pPr>
      <w:suppressAutoHyphens/>
      <w:spacing w:before="280" w:after="280"/>
    </w:pPr>
    <w:rPr>
      <w:lang w:eastAsia="ar-SA"/>
    </w:rPr>
  </w:style>
  <w:style w:type="paragraph" w:customStyle="1" w:styleId="TC">
    <w:name w:val="TC"/>
    <w:rsid w:val="004E5D35"/>
    <w:pPr>
      <w:tabs>
        <w:tab w:val="left" w:pos="720"/>
      </w:tabs>
      <w:spacing w:line="240" w:lineRule="atLeast"/>
      <w:jc w:val="both"/>
    </w:pPr>
    <w:rPr>
      <w:rFonts w:ascii="emperorPS" w:hAnsi="emperorPS"/>
      <w:snapToGrid w:val="0"/>
      <w:lang w:val="fr-FR"/>
    </w:rPr>
  </w:style>
  <w:style w:type="character" w:customStyle="1" w:styleId="TitleChar">
    <w:name w:val="Title Char"/>
    <w:basedOn w:val="DefaultParagraphFont"/>
    <w:link w:val="Title"/>
    <w:rsid w:val="00805922"/>
    <w:rPr>
      <w:rFonts w:ascii="LucidaT" w:hAnsi="LucidaT"/>
      <w:b/>
      <w:lang w:val="fr-FR" w:eastAsia="fr-FR"/>
    </w:rPr>
  </w:style>
  <w:style w:type="paragraph" w:customStyle="1" w:styleId="DocumentType">
    <w:name w:val="DocumentType"/>
    <w:basedOn w:val="Normal"/>
    <w:rsid w:val="00805922"/>
    <w:rPr>
      <w:rFonts w:ascii="Arial" w:hAnsi="Arial"/>
      <w:b/>
    </w:rPr>
  </w:style>
  <w:style w:type="paragraph" w:styleId="BalloonText">
    <w:name w:val="Balloon Text"/>
    <w:basedOn w:val="Normal"/>
    <w:link w:val="BalloonTextChar"/>
    <w:rsid w:val="005E27D2"/>
    <w:rPr>
      <w:rFonts w:ascii="Tahoma" w:hAnsi="Tahoma" w:cs="Tahoma"/>
      <w:sz w:val="16"/>
      <w:szCs w:val="16"/>
    </w:rPr>
  </w:style>
  <w:style w:type="character" w:customStyle="1" w:styleId="BalloonTextChar">
    <w:name w:val="Balloon Text Char"/>
    <w:basedOn w:val="DefaultParagraphFont"/>
    <w:link w:val="BalloonText"/>
    <w:rsid w:val="005E27D2"/>
    <w:rPr>
      <w:rFonts w:ascii="Tahoma" w:hAnsi="Tahoma" w:cs="Tahoma"/>
      <w:sz w:val="16"/>
      <w:szCs w:val="16"/>
    </w:rPr>
  </w:style>
  <w:style w:type="paragraph" w:customStyle="1" w:styleId="Sporocilo">
    <w:name w:val="Sporocilo"/>
    <w:rsid w:val="00DD1EEE"/>
    <w:pPr>
      <w:framePr w:w="9639" w:h="851" w:hRule="exact" w:hSpace="181" w:wrap="notBeside" w:vAnchor="page" w:hAnchor="page" w:x="1135" w:y="2836"/>
      <w:jc w:val="right"/>
    </w:pPr>
    <w:rPr>
      <w:rFonts w:ascii="Arial" w:hAnsi="Arial" w:cs="Arial"/>
      <w:b/>
      <w:bCs/>
      <w:color w:val="F03E40"/>
      <w:sz w:val="28"/>
      <w:szCs w:val="40"/>
      <w:lang w:val="de-DE"/>
    </w:rPr>
  </w:style>
  <w:style w:type="paragraph" w:customStyle="1" w:styleId="daljsinaslov">
    <w:name w:val="daljsinaslov"/>
    <w:basedOn w:val="Normal"/>
    <w:rsid w:val="00DD1EEE"/>
    <w:pPr>
      <w:spacing w:before="100" w:beforeAutospacing="1" w:after="100" w:afterAutospacing="1"/>
    </w:pPr>
  </w:style>
  <w:style w:type="paragraph" w:customStyle="1" w:styleId="sporocilo0">
    <w:name w:val="sporocilo"/>
    <w:basedOn w:val="Normal"/>
    <w:rsid w:val="00DD1EEE"/>
    <w:pPr>
      <w:spacing w:before="100" w:beforeAutospacing="1" w:after="100" w:afterAutospacing="1"/>
    </w:pPr>
  </w:style>
  <w:style w:type="paragraph" w:customStyle="1" w:styleId="tekstsporocila">
    <w:name w:val="tekstsporocila"/>
    <w:basedOn w:val="Normal"/>
    <w:rsid w:val="00DD1EEE"/>
    <w:pPr>
      <w:spacing w:before="100" w:beforeAutospacing="1" w:after="100" w:afterAutospacing="1"/>
    </w:pPr>
  </w:style>
  <w:style w:type="character" w:styleId="Strong">
    <w:name w:val="Strong"/>
    <w:basedOn w:val="DefaultParagraphFont"/>
    <w:uiPriority w:val="22"/>
    <w:qFormat/>
    <w:rsid w:val="00DD1EEE"/>
    <w:rPr>
      <w:b/>
      <w:bCs/>
    </w:rPr>
  </w:style>
  <w:style w:type="paragraph" w:styleId="ListParagraph">
    <w:name w:val="List Paragraph"/>
    <w:basedOn w:val="Normal"/>
    <w:uiPriority w:val="34"/>
    <w:qFormat/>
    <w:rsid w:val="00DD1EEE"/>
    <w:pPr>
      <w:ind w:left="720"/>
      <w:contextualSpacing/>
    </w:pPr>
    <w:rPr>
      <w:rFonts w:ascii="Calibri" w:eastAsia="Calibri" w:hAnsi="Calibri"/>
      <w:sz w:val="22"/>
      <w:szCs w:val="22"/>
    </w:rPr>
  </w:style>
  <w:style w:type="paragraph" w:styleId="FootnoteText">
    <w:name w:val="footnote text"/>
    <w:basedOn w:val="Normal"/>
    <w:link w:val="FootnoteTextChar"/>
    <w:rsid w:val="00DD1EEE"/>
    <w:rPr>
      <w:sz w:val="20"/>
      <w:szCs w:val="20"/>
    </w:rPr>
  </w:style>
  <w:style w:type="character" w:customStyle="1" w:styleId="FootnoteTextChar">
    <w:name w:val="Footnote Text Char"/>
    <w:basedOn w:val="DefaultParagraphFont"/>
    <w:link w:val="FootnoteText"/>
    <w:rsid w:val="00DD1EEE"/>
  </w:style>
  <w:style w:type="character" w:styleId="FootnoteReference">
    <w:name w:val="footnote reference"/>
    <w:basedOn w:val="DefaultParagraphFont"/>
    <w:rsid w:val="00DD1EEE"/>
    <w:rPr>
      <w:vertAlign w:val="superscript"/>
    </w:rPr>
  </w:style>
  <w:style w:type="table" w:styleId="TableGrid">
    <w:name w:val="Table Grid"/>
    <w:basedOn w:val="TableNormal"/>
    <w:rsid w:val="00DD1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900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SKB banka d</vt:lpstr>
    </vt:vector>
  </TitlesOfParts>
  <Company>studio lumina</Company>
  <LinksUpToDate>false</LinksUpToDate>
  <CharactersWithSpaces>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SKB banka d</dc:title>
  <dc:subject/>
  <dc:creator>dejan</dc:creator>
  <cp:keywords/>
  <dc:description/>
  <cp:lastModifiedBy>JelkaNovakKatona</cp:lastModifiedBy>
  <cp:revision>2</cp:revision>
  <cp:lastPrinted>2012-02-07T12:04:00Z</cp:lastPrinted>
  <dcterms:created xsi:type="dcterms:W3CDTF">2012-02-13T13:29:00Z</dcterms:created>
  <dcterms:modified xsi:type="dcterms:W3CDTF">2012-02-13T13:29:00Z</dcterms:modified>
</cp:coreProperties>
</file>