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7E" w:rsidRPr="00162500" w:rsidRDefault="00C3757E" w:rsidP="00F74223">
      <w:pPr>
        <w:spacing w:line="280" w:lineRule="atLeast"/>
        <w:ind w:right="561"/>
        <w:rPr>
          <w:rFonts w:ascii="Arial" w:hAnsi="Arial" w:cs="Arial"/>
          <w:sz w:val="20"/>
          <w:szCs w:val="20"/>
          <w:lang w:val="sl-SI"/>
        </w:rPr>
      </w:pPr>
      <w:r w:rsidRPr="00162500">
        <w:rPr>
          <w:rFonts w:ascii="Arial" w:hAnsi="Arial" w:cs="Arial"/>
          <w:sz w:val="20"/>
          <w:szCs w:val="20"/>
          <w:lang w:val="sl-SI"/>
        </w:rPr>
        <w:t xml:space="preserve">Ljubljana, </w:t>
      </w:r>
      <w:r w:rsidR="00632A99">
        <w:rPr>
          <w:rFonts w:ascii="Arial" w:hAnsi="Arial" w:cs="Arial"/>
          <w:sz w:val="20"/>
          <w:szCs w:val="20"/>
          <w:lang w:val="sl-SI"/>
        </w:rPr>
        <w:t>25</w:t>
      </w:r>
      <w:r w:rsidR="00F60338">
        <w:rPr>
          <w:rFonts w:ascii="Arial" w:hAnsi="Arial" w:cs="Arial"/>
          <w:sz w:val="20"/>
          <w:szCs w:val="20"/>
          <w:lang w:val="sl-SI"/>
        </w:rPr>
        <w:t>. februar 2013</w:t>
      </w:r>
    </w:p>
    <w:p w:rsidR="00C3757E" w:rsidRPr="00162500" w:rsidRDefault="00C3757E" w:rsidP="00F74223">
      <w:pPr>
        <w:tabs>
          <w:tab w:val="left" w:pos="1620"/>
        </w:tabs>
        <w:spacing w:line="280" w:lineRule="atLeast"/>
        <w:ind w:right="561"/>
        <w:rPr>
          <w:rFonts w:ascii="Arial" w:hAnsi="Arial" w:cs="Arial"/>
          <w:sz w:val="20"/>
          <w:szCs w:val="20"/>
          <w:lang w:val="sl-SI"/>
        </w:rPr>
      </w:pPr>
    </w:p>
    <w:p w:rsidR="00C3757E" w:rsidRPr="00F60338" w:rsidRDefault="00F60338" w:rsidP="00F74223">
      <w:pPr>
        <w:spacing w:line="280" w:lineRule="atLeast"/>
        <w:ind w:right="561"/>
        <w:rPr>
          <w:rFonts w:ascii="Arial" w:hAnsi="Arial"/>
          <w:b/>
          <w:color w:val="000000"/>
          <w:sz w:val="20"/>
          <w:lang w:val="sl-SI"/>
        </w:rPr>
      </w:pPr>
      <w:r w:rsidRPr="00F60338">
        <w:rPr>
          <w:rFonts w:ascii="Arial" w:hAnsi="Arial"/>
          <w:b/>
          <w:color w:val="000000"/>
          <w:sz w:val="20"/>
          <w:lang w:val="sl-SI"/>
        </w:rPr>
        <w:t xml:space="preserve">Pozitivne informacije s slovenskega trga kapitala: </w:t>
      </w:r>
      <w:r w:rsidR="00E93958">
        <w:rPr>
          <w:rFonts w:ascii="Arial" w:hAnsi="Arial"/>
          <w:b/>
          <w:color w:val="000000"/>
          <w:sz w:val="20"/>
          <w:lang w:val="sl-SI"/>
        </w:rPr>
        <w:t>Slovenske delnice zanimive za tuje vlagatelje</w:t>
      </w:r>
    </w:p>
    <w:p w:rsidR="00C3757E" w:rsidRDefault="00C3757E" w:rsidP="003F7B8F">
      <w:p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</w:p>
    <w:p w:rsidR="00F60338" w:rsidRDefault="00766247" w:rsidP="003F7B8F">
      <w:p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  <w:r>
        <w:rPr>
          <w:rFonts w:ascii="Arial" w:hAnsi="Arial"/>
          <w:color w:val="000000"/>
          <w:sz w:val="20"/>
          <w:lang w:val="sl-SI"/>
        </w:rPr>
        <w:t>D</w:t>
      </w:r>
      <w:r w:rsidR="006F0A26">
        <w:rPr>
          <w:rFonts w:ascii="Arial" w:hAnsi="Arial"/>
          <w:color w:val="000000"/>
          <w:sz w:val="20"/>
          <w:lang w:val="sl-SI"/>
        </w:rPr>
        <w:t xml:space="preserve">elnice slovenskih družb </w:t>
      </w:r>
      <w:r>
        <w:rPr>
          <w:rFonts w:ascii="Arial" w:hAnsi="Arial"/>
          <w:color w:val="000000"/>
          <w:sz w:val="20"/>
          <w:lang w:val="sl-SI"/>
        </w:rPr>
        <w:t xml:space="preserve">so </w:t>
      </w:r>
      <w:r w:rsidR="006F0A26">
        <w:rPr>
          <w:rFonts w:ascii="Arial" w:hAnsi="Arial"/>
          <w:color w:val="000000"/>
          <w:sz w:val="20"/>
          <w:lang w:val="sl-SI"/>
        </w:rPr>
        <w:t xml:space="preserve">vedno bolj zanimive za tuje vlagatelje, ki </w:t>
      </w:r>
      <w:r w:rsidR="00472AA9">
        <w:rPr>
          <w:rFonts w:ascii="Arial" w:hAnsi="Arial"/>
          <w:color w:val="000000"/>
          <w:sz w:val="20"/>
          <w:lang w:val="sl-SI"/>
        </w:rPr>
        <w:t xml:space="preserve">so v letu 2012 na nakupni strani </w:t>
      </w:r>
      <w:r w:rsidR="009C0FDD">
        <w:rPr>
          <w:rFonts w:ascii="Arial" w:hAnsi="Arial"/>
          <w:color w:val="000000"/>
          <w:sz w:val="20"/>
          <w:lang w:val="sl-SI"/>
        </w:rPr>
        <w:t>dosegli</w:t>
      </w:r>
      <w:r w:rsidR="00472AA9">
        <w:rPr>
          <w:rFonts w:ascii="Arial" w:hAnsi="Arial"/>
          <w:color w:val="000000"/>
          <w:sz w:val="20"/>
          <w:lang w:val="sl-SI"/>
        </w:rPr>
        <w:t xml:space="preserve"> že</w:t>
      </w:r>
      <w:r w:rsidR="006F0A26">
        <w:rPr>
          <w:rFonts w:ascii="Arial" w:hAnsi="Arial"/>
          <w:color w:val="000000"/>
          <w:sz w:val="20"/>
          <w:lang w:val="sl-SI"/>
        </w:rPr>
        <w:t xml:space="preserve"> 67% delež</w:t>
      </w:r>
      <w:r>
        <w:rPr>
          <w:rFonts w:ascii="Arial" w:hAnsi="Arial"/>
          <w:color w:val="000000"/>
          <w:sz w:val="20"/>
          <w:lang w:val="sl-SI"/>
        </w:rPr>
        <w:t xml:space="preserve"> prometa z delnicami Prve kotacije.</w:t>
      </w:r>
      <w:r w:rsidR="00472AA9">
        <w:rPr>
          <w:rFonts w:ascii="Arial" w:hAnsi="Arial"/>
          <w:color w:val="000000"/>
          <w:sz w:val="20"/>
          <w:lang w:val="sl-SI"/>
        </w:rPr>
        <w:t xml:space="preserve"> </w:t>
      </w:r>
      <w:r>
        <w:rPr>
          <w:rFonts w:ascii="Arial" w:hAnsi="Arial"/>
          <w:color w:val="000000"/>
          <w:sz w:val="20"/>
          <w:lang w:val="sl-SI"/>
        </w:rPr>
        <w:t>Leto 2012 zaznamuje tudi pozitiven razvoj na drugih področjih:</w:t>
      </w:r>
      <w:r w:rsidR="006F0A26">
        <w:rPr>
          <w:rFonts w:ascii="Arial" w:hAnsi="Arial"/>
          <w:color w:val="000000"/>
          <w:sz w:val="20"/>
          <w:lang w:val="sl-SI"/>
        </w:rPr>
        <w:t xml:space="preserve"> </w:t>
      </w:r>
    </w:p>
    <w:p w:rsidR="00834C9B" w:rsidRDefault="00834C9B" w:rsidP="003F7B8F">
      <w:p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</w:p>
    <w:p w:rsidR="002B49F2" w:rsidRPr="00D2609A" w:rsidRDefault="00D2609A" w:rsidP="00D2609A">
      <w:pPr>
        <w:pStyle w:val="ListParagraph"/>
        <w:numPr>
          <w:ilvl w:val="0"/>
          <w:numId w:val="12"/>
        </w:num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  <w:r w:rsidRPr="00D2609A">
        <w:rPr>
          <w:rFonts w:ascii="Arial" w:hAnsi="Arial" w:cs="Arial"/>
          <w:color w:val="000000"/>
          <w:sz w:val="20"/>
          <w:szCs w:val="20"/>
        </w:rPr>
        <w:t xml:space="preserve">Po najnovejših podatkih Ljubljanske borze in KDD-ja so </w:t>
      </w:r>
      <w:r w:rsidRPr="00253307">
        <w:rPr>
          <w:rFonts w:ascii="Arial" w:hAnsi="Arial" w:cs="Arial"/>
          <w:b/>
          <w:color w:val="000000"/>
          <w:sz w:val="20"/>
          <w:szCs w:val="20"/>
        </w:rPr>
        <w:t>mednarodni vlagatelji v 2012 dosegli največji delež v prometu z delnicami Prve kotacije do sedaj</w:t>
      </w:r>
      <w:r w:rsidRPr="00D2609A">
        <w:rPr>
          <w:rFonts w:ascii="Arial" w:hAnsi="Arial" w:cs="Arial"/>
          <w:color w:val="000000"/>
          <w:sz w:val="20"/>
          <w:szCs w:val="20"/>
        </w:rPr>
        <w:t>. Njihov delež, ki pred 2010 nikoli ni presegel 30%, je v 2011 in 2012 dosegel skoraj 50%</w:t>
      </w:r>
      <w:r w:rsidR="00253307">
        <w:rPr>
          <w:rFonts w:ascii="Arial" w:hAnsi="Arial" w:cs="Arial"/>
          <w:color w:val="000000"/>
          <w:sz w:val="20"/>
          <w:szCs w:val="20"/>
        </w:rPr>
        <w:t xml:space="preserve"> prometa delnic Prve kotacije, na nakupni strani celo 67%. </w:t>
      </w:r>
    </w:p>
    <w:p w:rsidR="00D2609A" w:rsidRPr="00D2609A" w:rsidRDefault="00D2609A" w:rsidP="00D2609A">
      <w:pPr>
        <w:pStyle w:val="ListParagraph"/>
        <w:numPr>
          <w:ilvl w:val="0"/>
          <w:numId w:val="12"/>
        </w:num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  <w:r w:rsidRPr="00AE300B">
        <w:rPr>
          <w:rFonts w:ascii="Arial" w:hAnsi="Arial" w:cs="Arial"/>
          <w:b/>
          <w:sz w:val="20"/>
        </w:rPr>
        <w:t xml:space="preserve">Dobršen del prometa tujcev se izvede preko </w:t>
      </w:r>
      <w:r w:rsidR="00766247">
        <w:rPr>
          <w:rFonts w:ascii="Arial" w:hAnsi="Arial" w:cs="Arial"/>
          <w:b/>
          <w:sz w:val="20"/>
        </w:rPr>
        <w:t>slovenskih</w:t>
      </w:r>
      <w:r w:rsidR="007F68A4">
        <w:rPr>
          <w:rFonts w:ascii="Arial" w:hAnsi="Arial" w:cs="Arial"/>
          <w:b/>
          <w:sz w:val="20"/>
        </w:rPr>
        <w:t xml:space="preserve"> </w:t>
      </w:r>
      <w:r w:rsidRPr="00AE300B">
        <w:rPr>
          <w:rFonts w:ascii="Arial" w:hAnsi="Arial" w:cs="Arial"/>
          <w:b/>
          <w:sz w:val="20"/>
        </w:rPr>
        <w:t>borznih posrednikov</w:t>
      </w:r>
      <w:r>
        <w:rPr>
          <w:rFonts w:ascii="Arial" w:hAnsi="Arial" w:cs="Arial"/>
          <w:sz w:val="20"/>
        </w:rPr>
        <w:t>, saj le ti skupno d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segajo 74% tržni delež.</w:t>
      </w:r>
    </w:p>
    <w:p w:rsidR="00D2609A" w:rsidRPr="00D2609A" w:rsidRDefault="00D2609A" w:rsidP="00D2609A">
      <w:pPr>
        <w:pStyle w:val="ListParagraph"/>
        <w:numPr>
          <w:ilvl w:val="0"/>
          <w:numId w:val="12"/>
        </w:num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Opazno se </w:t>
      </w:r>
      <w:r w:rsidRPr="00AE300B">
        <w:rPr>
          <w:rFonts w:ascii="Arial" w:hAnsi="Arial" w:cs="Arial"/>
          <w:b/>
          <w:color w:val="000000"/>
          <w:sz w:val="20"/>
          <w:szCs w:val="20"/>
        </w:rPr>
        <w:t>povečuje delež tujih posrednikov v borznem prometu</w:t>
      </w:r>
      <w:r w:rsidRPr="00680792">
        <w:rPr>
          <w:rFonts w:ascii="Arial" w:hAnsi="Arial" w:cs="Arial"/>
          <w:color w:val="000000"/>
          <w:sz w:val="20"/>
          <w:szCs w:val="20"/>
        </w:rPr>
        <w:t>, saj je v zadnjih dveh letih zrasel od praktično 0% na 16%.</w:t>
      </w:r>
    </w:p>
    <w:p w:rsidR="00D2609A" w:rsidRPr="00D2609A" w:rsidRDefault="00D2609A" w:rsidP="00D2609A">
      <w:pPr>
        <w:pStyle w:val="ListParagraph"/>
        <w:numPr>
          <w:ilvl w:val="0"/>
          <w:numId w:val="12"/>
        </w:numPr>
        <w:tabs>
          <w:tab w:val="left" w:pos="1620"/>
        </w:tabs>
        <w:spacing w:line="280" w:lineRule="atLeast"/>
        <w:ind w:right="45"/>
        <w:rPr>
          <w:rFonts w:ascii="Arial" w:hAnsi="Arial" w:cs="Arial"/>
          <w:color w:val="000000"/>
          <w:sz w:val="20"/>
          <w:szCs w:val="20"/>
        </w:rPr>
      </w:pPr>
      <w:r w:rsidRPr="00F76BD4">
        <w:rPr>
          <w:rFonts w:ascii="Arial" w:hAnsi="Arial" w:cs="Arial"/>
          <w:b/>
          <w:color w:val="000000"/>
          <w:sz w:val="20"/>
          <w:szCs w:val="20"/>
        </w:rPr>
        <w:t>Med finančnimi posredniki je vodilna Alta Invest</w:t>
      </w:r>
      <w:r w:rsidRPr="00D2609A">
        <w:rPr>
          <w:rFonts w:ascii="Arial" w:hAnsi="Arial" w:cs="Arial"/>
          <w:color w:val="000000"/>
          <w:sz w:val="20"/>
          <w:szCs w:val="20"/>
        </w:rPr>
        <w:t xml:space="preserve"> z 22% deležem v skupnem borznem prometu v letu 2012.</w:t>
      </w:r>
    </w:p>
    <w:p w:rsidR="004B1EA7" w:rsidRDefault="004B1EA7" w:rsidP="004B1EA7">
      <w:pPr>
        <w:pStyle w:val="ListParagraph"/>
        <w:numPr>
          <w:ilvl w:val="0"/>
          <w:numId w:val="12"/>
        </w:num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  <w:r w:rsidRPr="00D2609A">
        <w:rPr>
          <w:rFonts w:ascii="Arial" w:hAnsi="Arial"/>
          <w:color w:val="000000"/>
          <w:sz w:val="20"/>
          <w:lang w:val="sl-SI"/>
        </w:rPr>
        <w:t xml:space="preserve">V letu 2012 smo bili po dveh letih negativne letne donosnosti </w:t>
      </w:r>
      <w:r w:rsidR="005C28E3">
        <w:rPr>
          <w:rFonts w:ascii="Arial" w:hAnsi="Arial"/>
          <w:color w:val="000000"/>
          <w:sz w:val="20"/>
          <w:lang w:val="sl-SI"/>
        </w:rPr>
        <w:t xml:space="preserve">tudi </w:t>
      </w:r>
      <w:r w:rsidRPr="00253307">
        <w:rPr>
          <w:rFonts w:ascii="Arial" w:hAnsi="Arial"/>
          <w:b/>
          <w:color w:val="000000"/>
          <w:sz w:val="20"/>
          <w:lang w:val="sl-SI"/>
        </w:rPr>
        <w:t>priča rasti borznega indeksa SBI TOP</w:t>
      </w:r>
      <w:r w:rsidRPr="00D2609A">
        <w:rPr>
          <w:rFonts w:ascii="Arial" w:hAnsi="Arial"/>
          <w:color w:val="000000"/>
          <w:sz w:val="20"/>
          <w:lang w:val="sl-SI"/>
        </w:rPr>
        <w:t xml:space="preserve">, ki je zrasel kar za 7,8%. </w:t>
      </w:r>
    </w:p>
    <w:p w:rsidR="00D2609A" w:rsidRDefault="001A49C4" w:rsidP="00D2609A">
      <w:pPr>
        <w:pStyle w:val="ListParagraph"/>
        <w:numPr>
          <w:ilvl w:val="0"/>
          <w:numId w:val="12"/>
        </w:num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  <w:r w:rsidRPr="00F76BD4">
        <w:rPr>
          <w:rFonts w:ascii="Arial" w:hAnsi="Arial"/>
          <w:b/>
          <w:color w:val="000000"/>
          <w:sz w:val="20"/>
          <w:lang w:val="sl-SI"/>
        </w:rPr>
        <w:t>N</w:t>
      </w:r>
      <w:r w:rsidR="00D2609A" w:rsidRPr="00F76BD4">
        <w:rPr>
          <w:rFonts w:ascii="Arial" w:hAnsi="Arial"/>
          <w:b/>
          <w:color w:val="000000"/>
          <w:sz w:val="20"/>
          <w:lang w:val="sl-SI"/>
        </w:rPr>
        <w:t xml:space="preserve">ajprometnejše delnice </w:t>
      </w:r>
      <w:r w:rsidRPr="00F76BD4">
        <w:rPr>
          <w:rFonts w:ascii="Arial" w:hAnsi="Arial"/>
          <w:b/>
          <w:color w:val="000000"/>
          <w:sz w:val="20"/>
          <w:lang w:val="sl-SI"/>
        </w:rPr>
        <w:t xml:space="preserve">v letu 2012 so bile delnice </w:t>
      </w:r>
      <w:r w:rsidR="00D2609A" w:rsidRPr="00F76BD4">
        <w:rPr>
          <w:rFonts w:ascii="Arial" w:hAnsi="Arial"/>
          <w:b/>
          <w:color w:val="000000"/>
          <w:sz w:val="20"/>
          <w:lang w:val="sl-SI"/>
        </w:rPr>
        <w:t>Krke</w:t>
      </w:r>
      <w:r w:rsidR="00D2609A" w:rsidRPr="00D2609A">
        <w:rPr>
          <w:rFonts w:ascii="Arial" w:hAnsi="Arial"/>
          <w:color w:val="000000"/>
          <w:sz w:val="20"/>
          <w:lang w:val="sl-SI"/>
        </w:rPr>
        <w:t xml:space="preserve"> (KRKG) iz Prve kotacije. Z njimi je bilo ustvarj</w:t>
      </w:r>
      <w:r w:rsidR="00D2609A" w:rsidRPr="00D2609A">
        <w:rPr>
          <w:rFonts w:ascii="Arial" w:hAnsi="Arial"/>
          <w:color w:val="000000"/>
          <w:sz w:val="20"/>
          <w:lang w:val="sl-SI"/>
        </w:rPr>
        <w:t>e</w:t>
      </w:r>
      <w:r w:rsidR="00D2609A" w:rsidRPr="00D2609A">
        <w:rPr>
          <w:rFonts w:ascii="Arial" w:hAnsi="Arial"/>
          <w:color w:val="000000"/>
          <w:sz w:val="20"/>
          <w:lang w:val="sl-SI"/>
        </w:rPr>
        <w:t>nega 46,6% prometa vseh delnic borze.</w:t>
      </w:r>
    </w:p>
    <w:p w:rsidR="009B5E51" w:rsidRDefault="009B5E51" w:rsidP="009B5E51">
      <w:pPr>
        <w:pStyle w:val="ListParagraph"/>
        <w:numPr>
          <w:ilvl w:val="0"/>
          <w:numId w:val="12"/>
        </w:num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  <w:r w:rsidRPr="009B5E51">
        <w:rPr>
          <w:rFonts w:ascii="Arial" w:hAnsi="Arial"/>
          <w:color w:val="000000"/>
          <w:sz w:val="20"/>
          <w:lang w:val="sl-SI"/>
        </w:rPr>
        <w:t xml:space="preserve"> V letu 2012 se je na Ljubljanski borzi povečal tudi nabor investicijskih priložnosti</w:t>
      </w:r>
      <w:r w:rsidR="00766247">
        <w:rPr>
          <w:rFonts w:ascii="Arial" w:hAnsi="Arial"/>
          <w:color w:val="000000"/>
          <w:sz w:val="20"/>
          <w:lang w:val="sl-SI"/>
        </w:rPr>
        <w:t xml:space="preserve"> ter možnosti nebančnega financiranja </w:t>
      </w:r>
      <w:r w:rsidR="00EB53A7">
        <w:rPr>
          <w:rFonts w:ascii="Arial" w:hAnsi="Arial"/>
          <w:color w:val="000000"/>
          <w:sz w:val="20"/>
          <w:lang w:val="sl-SI"/>
        </w:rPr>
        <w:t>borznih družb</w:t>
      </w:r>
      <w:r w:rsidRPr="009B5E51">
        <w:rPr>
          <w:rFonts w:ascii="Arial" w:hAnsi="Arial"/>
          <w:color w:val="000000"/>
          <w:sz w:val="20"/>
          <w:lang w:val="sl-SI"/>
        </w:rPr>
        <w:t>, saj so se</w:t>
      </w:r>
      <w:r>
        <w:rPr>
          <w:rFonts w:ascii="Arial" w:hAnsi="Arial"/>
          <w:b/>
          <w:color w:val="000000"/>
          <w:sz w:val="20"/>
          <w:lang w:val="sl-SI"/>
        </w:rPr>
        <w:t xml:space="preserve"> na trg uvrstili komercialni zapisi</w:t>
      </w:r>
      <w:r w:rsidRPr="009B5E51">
        <w:rPr>
          <w:rFonts w:ascii="Arial" w:hAnsi="Arial"/>
          <w:b/>
          <w:color w:val="000000"/>
          <w:sz w:val="20"/>
          <w:lang w:val="sl-SI"/>
        </w:rPr>
        <w:t xml:space="preserve"> v skupni vrednosti 124 mio EUR.</w:t>
      </w:r>
      <w:r>
        <w:rPr>
          <w:rFonts w:ascii="Arial" w:hAnsi="Arial"/>
          <w:b/>
          <w:color w:val="000000"/>
          <w:sz w:val="20"/>
          <w:lang w:val="sl-SI"/>
        </w:rPr>
        <w:t xml:space="preserve"> </w:t>
      </w:r>
    </w:p>
    <w:p w:rsidR="009B5E51" w:rsidRDefault="009B5E51" w:rsidP="007163FF">
      <w:pPr>
        <w:spacing w:line="280" w:lineRule="atLeast"/>
        <w:ind w:right="-2"/>
        <w:rPr>
          <w:rFonts w:ascii="Arial" w:hAnsi="Arial"/>
          <w:color w:val="000000"/>
          <w:sz w:val="20"/>
          <w:lang w:val="sl-SI"/>
        </w:rPr>
      </w:pPr>
    </w:p>
    <w:p w:rsidR="00C12ADA" w:rsidRDefault="000A66FC" w:rsidP="00C12ADA">
      <w:pPr>
        <w:tabs>
          <w:tab w:val="left" w:pos="1620"/>
        </w:tabs>
        <w:spacing w:line="280" w:lineRule="atLeast"/>
        <w:ind w:right="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lang w:val="sl-SI"/>
        </w:rPr>
        <w:t xml:space="preserve">Trendi kažejo, da </w:t>
      </w:r>
      <w:r w:rsidR="003F7B8F" w:rsidRPr="00F67FE1">
        <w:rPr>
          <w:rFonts w:ascii="Arial" w:hAnsi="Arial"/>
          <w:b/>
          <w:color w:val="000000"/>
          <w:sz w:val="20"/>
          <w:lang w:val="sl-SI"/>
        </w:rPr>
        <w:t>Ljubljanska borza postaja vse bolj mednaroden trg, saj vse več borznega prometa ustvarijo mednarodni vlagatelji.</w:t>
      </w:r>
      <w:r w:rsidR="003F7B8F" w:rsidRPr="003F7B8F">
        <w:rPr>
          <w:rFonts w:ascii="Arial" w:hAnsi="Arial"/>
          <w:color w:val="000000"/>
          <w:sz w:val="20"/>
          <w:lang w:val="sl-SI"/>
        </w:rPr>
        <w:t xml:space="preserve"> Njihov delež v prometu z delnicami najboljših borznih družb je zadnja tri leta največji in dosega skoraj polovico.</w:t>
      </w:r>
      <w:r w:rsidR="00C12ADA">
        <w:rPr>
          <w:rFonts w:ascii="Arial" w:hAnsi="Arial"/>
          <w:color w:val="000000"/>
          <w:sz w:val="20"/>
          <w:lang w:val="sl-SI"/>
        </w:rPr>
        <w:t xml:space="preserve"> </w:t>
      </w:r>
      <w:r w:rsidR="00C12ADA">
        <w:rPr>
          <w:rFonts w:ascii="Arial" w:hAnsi="Arial" w:cs="Arial"/>
          <w:color w:val="000000"/>
          <w:sz w:val="20"/>
          <w:szCs w:val="20"/>
        </w:rPr>
        <w:t>Delež slovenskih institucionalnih vlagateljev ostaja stabilen pri 34%, medtem ko se</w:t>
      </w:r>
      <w:r w:rsidR="00C12ADA" w:rsidRPr="00C12ADA">
        <w:rPr>
          <w:rFonts w:ascii="Arial" w:hAnsi="Arial"/>
          <w:color w:val="000000"/>
          <w:sz w:val="20"/>
          <w:lang w:val="sl-SI"/>
        </w:rPr>
        <w:t xml:space="preserve"> </w:t>
      </w:r>
      <w:r w:rsidR="00C12ADA">
        <w:rPr>
          <w:rFonts w:ascii="Arial" w:hAnsi="Arial"/>
          <w:color w:val="000000"/>
          <w:sz w:val="20"/>
          <w:lang w:val="sl-SI"/>
        </w:rPr>
        <w:t>b</w:t>
      </w:r>
      <w:r w:rsidR="00C12ADA" w:rsidRPr="003F7B8F">
        <w:rPr>
          <w:rFonts w:ascii="Arial" w:hAnsi="Arial"/>
          <w:color w:val="000000"/>
          <w:sz w:val="20"/>
          <w:lang w:val="sl-SI"/>
        </w:rPr>
        <w:t xml:space="preserve">istveno zmanjšuje predvsem delež borznega prometa slovenskih fizičnih oseb, ki </w:t>
      </w:r>
      <w:r w:rsidR="00C12ADA">
        <w:rPr>
          <w:rFonts w:ascii="Arial" w:hAnsi="Arial"/>
          <w:color w:val="000000"/>
          <w:sz w:val="20"/>
          <w:lang w:val="sl-SI"/>
        </w:rPr>
        <w:t xml:space="preserve">se je </w:t>
      </w:r>
      <w:r w:rsidR="00C12ADA">
        <w:rPr>
          <w:rFonts w:ascii="Arial" w:hAnsi="Arial" w:cs="Arial"/>
          <w:color w:val="000000"/>
          <w:sz w:val="20"/>
          <w:szCs w:val="20"/>
        </w:rPr>
        <w:t xml:space="preserve">v zadnjih treh letih </w:t>
      </w:r>
      <w:r w:rsidR="00C12ADA" w:rsidRPr="00CE5673">
        <w:rPr>
          <w:rFonts w:ascii="Arial" w:hAnsi="Arial" w:cs="Arial"/>
          <w:color w:val="000000"/>
          <w:sz w:val="20"/>
          <w:szCs w:val="20"/>
        </w:rPr>
        <w:t>razpolovil in znaša 16%</w:t>
      </w:r>
      <w:r w:rsidR="00C12ADA">
        <w:rPr>
          <w:rFonts w:ascii="Arial" w:hAnsi="Arial" w:cs="Arial"/>
          <w:color w:val="000000"/>
          <w:sz w:val="20"/>
          <w:szCs w:val="20"/>
        </w:rPr>
        <w:t xml:space="preserve">. Po številu transakcij, ki so vrednostno relativno majhne, </w:t>
      </w:r>
      <w:r w:rsidR="00C12ADA">
        <w:rPr>
          <w:rFonts w:ascii="Arial" w:hAnsi="Arial" w:cs="Arial"/>
          <w:sz w:val="20"/>
        </w:rPr>
        <w:t>pa še vedno prevladujejo domače fizične osebe s skupno 55% deležem vseh transakcij.</w:t>
      </w:r>
    </w:p>
    <w:p w:rsidR="00C3757E" w:rsidRPr="00162500" w:rsidRDefault="00C3757E" w:rsidP="00F74223">
      <w:pPr>
        <w:spacing w:line="280" w:lineRule="atLeast"/>
        <w:ind w:right="561"/>
        <w:rPr>
          <w:rFonts w:ascii="Arial" w:hAnsi="Arial"/>
          <w:color w:val="000000"/>
          <w:sz w:val="20"/>
          <w:lang w:val="sl-SI"/>
        </w:rPr>
      </w:pPr>
    </w:p>
    <w:p w:rsidR="005E6CC8" w:rsidRDefault="005E6CC8" w:rsidP="005E6CC8">
      <w:pPr>
        <w:tabs>
          <w:tab w:val="left" w:pos="1620"/>
        </w:tabs>
        <w:spacing w:line="280" w:lineRule="atLeast"/>
        <w:ind w:right="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Spremembe v strukturi borznega prometa so odraz sprememb v naložbeni kulturi malih in institucionalnih vl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gateljev</w:t>
      </w:r>
      <w:r w:rsidRPr="00F67FE1">
        <w:rPr>
          <w:rFonts w:ascii="Arial" w:hAnsi="Arial" w:cs="Arial"/>
          <w:b/>
          <w:color w:val="000000"/>
          <w:sz w:val="20"/>
          <w:szCs w:val="20"/>
        </w:rPr>
        <w:t>. Andrej Šketa, predsednik uprave Ljubljanske borze, poudarja, da je Ljubljanska borza po stru</w:t>
      </w:r>
      <w:r w:rsidRPr="00F67FE1">
        <w:rPr>
          <w:rFonts w:ascii="Arial" w:hAnsi="Arial" w:cs="Arial"/>
          <w:b/>
          <w:color w:val="000000"/>
          <w:sz w:val="20"/>
          <w:szCs w:val="20"/>
        </w:rPr>
        <w:t>k</w:t>
      </w:r>
      <w:r w:rsidRPr="00F67FE1">
        <w:rPr>
          <w:rFonts w:ascii="Arial" w:hAnsi="Arial" w:cs="Arial"/>
          <w:b/>
          <w:color w:val="000000"/>
          <w:sz w:val="20"/>
          <w:szCs w:val="20"/>
        </w:rPr>
        <w:t xml:space="preserve">turi vlagateljev </w:t>
      </w:r>
      <w:r w:rsidR="00766247">
        <w:rPr>
          <w:rFonts w:ascii="Arial" w:hAnsi="Arial" w:cs="Arial"/>
          <w:b/>
          <w:color w:val="000000"/>
          <w:sz w:val="20"/>
          <w:szCs w:val="20"/>
        </w:rPr>
        <w:t xml:space="preserve">vse bolj </w:t>
      </w:r>
      <w:r w:rsidRPr="00F67FE1">
        <w:rPr>
          <w:rFonts w:ascii="Arial" w:hAnsi="Arial" w:cs="Arial"/>
          <w:b/>
          <w:color w:val="000000"/>
          <w:sz w:val="20"/>
          <w:szCs w:val="20"/>
        </w:rPr>
        <w:t xml:space="preserve">primerljiva z razvitimi kapitalskimi trgi. </w:t>
      </w:r>
      <w:r w:rsidR="007F68A4">
        <w:rPr>
          <w:rFonts w:ascii="Arial" w:hAnsi="Arial" w:cs="Arial"/>
          <w:b/>
          <w:color w:val="000000"/>
          <w:sz w:val="20"/>
          <w:szCs w:val="20"/>
        </w:rPr>
        <w:t>„</w:t>
      </w:r>
      <w:r w:rsidR="00766247">
        <w:rPr>
          <w:rFonts w:ascii="Arial" w:hAnsi="Arial" w:cs="Arial"/>
          <w:b/>
          <w:color w:val="000000"/>
          <w:sz w:val="20"/>
          <w:szCs w:val="20"/>
        </w:rPr>
        <w:t>Prizadevamo si, da lahko potrebe sl</w:t>
      </w:r>
      <w:r w:rsidR="00766247">
        <w:rPr>
          <w:rFonts w:ascii="Arial" w:hAnsi="Arial" w:cs="Arial"/>
          <w:b/>
          <w:color w:val="000000"/>
          <w:sz w:val="20"/>
          <w:szCs w:val="20"/>
        </w:rPr>
        <w:t>o</w:t>
      </w:r>
      <w:r w:rsidR="00766247">
        <w:rPr>
          <w:rFonts w:ascii="Arial" w:hAnsi="Arial" w:cs="Arial"/>
          <w:b/>
          <w:color w:val="000000"/>
          <w:sz w:val="20"/>
          <w:szCs w:val="20"/>
        </w:rPr>
        <w:t>venskih podjetij izpolnimo na trgu v Ljubljani, ne glede od kod prihajajo vlagatelji.</w:t>
      </w:r>
      <w:r w:rsidR="007F68A4">
        <w:rPr>
          <w:rFonts w:ascii="Arial" w:hAnsi="Arial" w:cs="Arial"/>
          <w:b/>
          <w:color w:val="000000"/>
          <w:sz w:val="20"/>
          <w:szCs w:val="20"/>
        </w:rPr>
        <w:t>“</w:t>
      </w:r>
      <w:r w:rsidR="00766247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K temu so nedvomno pripomogle borzne aktivnosti zadnjih treh let; od uvedbe mednarodnega trgovalnega sistema Xetra in nepo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redne vključitve v trgovanje tujih finančnih posrednikov, do promocij najboljših borznih družb Prve kotacije, ki se redno predstavljajo na investicijskih konferencah in tako skrbijo za prepoznavnost pri vlagateljih.</w:t>
      </w:r>
      <w:r w:rsidR="00834EC6">
        <w:rPr>
          <w:rFonts w:ascii="Arial" w:hAnsi="Arial" w:cs="Arial"/>
          <w:color w:val="000000"/>
          <w:sz w:val="20"/>
          <w:szCs w:val="20"/>
        </w:rPr>
        <w:t xml:space="preserve"> Na dveh inve</w:t>
      </w:r>
      <w:r w:rsidR="00817E3C">
        <w:rPr>
          <w:rFonts w:ascii="Arial" w:hAnsi="Arial" w:cs="Arial"/>
          <w:color w:val="000000"/>
          <w:sz w:val="20"/>
          <w:szCs w:val="20"/>
        </w:rPr>
        <w:t>s</w:t>
      </w:r>
      <w:r w:rsidR="00817E3C">
        <w:rPr>
          <w:rFonts w:ascii="Arial" w:hAnsi="Arial" w:cs="Arial"/>
          <w:color w:val="000000"/>
          <w:sz w:val="20"/>
          <w:szCs w:val="20"/>
        </w:rPr>
        <w:t>ticijskih dogodkih v Ljubljani</w:t>
      </w:r>
      <w:r w:rsidR="00834EC6">
        <w:rPr>
          <w:rFonts w:ascii="Arial" w:hAnsi="Arial" w:cs="Arial"/>
          <w:color w:val="000000"/>
          <w:sz w:val="20"/>
          <w:szCs w:val="20"/>
        </w:rPr>
        <w:t xml:space="preserve"> </w:t>
      </w:r>
      <w:r w:rsidR="005C28E3">
        <w:rPr>
          <w:rFonts w:ascii="Arial" w:hAnsi="Arial" w:cs="Arial"/>
          <w:color w:val="000000"/>
          <w:sz w:val="20"/>
          <w:szCs w:val="20"/>
        </w:rPr>
        <w:t xml:space="preserve">lani </w:t>
      </w:r>
      <w:r w:rsidR="00834EC6">
        <w:rPr>
          <w:rFonts w:ascii="Arial" w:hAnsi="Arial" w:cs="Arial"/>
          <w:color w:val="000000"/>
          <w:sz w:val="20"/>
          <w:szCs w:val="20"/>
        </w:rPr>
        <w:t xml:space="preserve">so družbe Prve kotacije izvedle kar </w:t>
      </w:r>
      <w:r w:rsidR="0029717F">
        <w:rPr>
          <w:rFonts w:ascii="Arial" w:hAnsi="Arial" w:cs="Arial"/>
          <w:color w:val="000000"/>
          <w:sz w:val="20"/>
          <w:szCs w:val="20"/>
        </w:rPr>
        <w:t xml:space="preserve">228 </w:t>
      </w:r>
      <w:r w:rsidR="00834EC6">
        <w:rPr>
          <w:rFonts w:ascii="Arial" w:hAnsi="Arial" w:cs="Arial"/>
          <w:color w:val="000000"/>
          <w:sz w:val="20"/>
          <w:szCs w:val="20"/>
        </w:rPr>
        <w:t xml:space="preserve">bilateralni sestankov z </w:t>
      </w:r>
      <w:r w:rsidR="00817E3C">
        <w:rPr>
          <w:rFonts w:ascii="Arial" w:hAnsi="Arial" w:cs="Arial"/>
          <w:color w:val="000000"/>
          <w:sz w:val="20"/>
          <w:szCs w:val="20"/>
        </w:rPr>
        <w:t xml:space="preserve">domačimi in tujimi </w:t>
      </w:r>
      <w:r w:rsidR="00834EC6">
        <w:rPr>
          <w:rFonts w:ascii="Arial" w:hAnsi="Arial" w:cs="Arial"/>
          <w:color w:val="000000"/>
          <w:sz w:val="20"/>
          <w:szCs w:val="20"/>
        </w:rPr>
        <w:t xml:space="preserve">vlagatelji in analitiki.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34EC6">
        <w:rPr>
          <w:rFonts w:ascii="Arial" w:hAnsi="Arial" w:cs="Arial"/>
          <w:color w:val="000000"/>
          <w:sz w:val="20"/>
          <w:szCs w:val="20"/>
        </w:rPr>
        <w:t xml:space="preserve">Poleg tega pa so se </w:t>
      </w:r>
      <w:r w:rsidR="00766247">
        <w:rPr>
          <w:rFonts w:ascii="Arial" w:hAnsi="Arial" w:cs="Arial"/>
          <w:color w:val="000000"/>
          <w:sz w:val="20"/>
          <w:szCs w:val="20"/>
        </w:rPr>
        <w:t xml:space="preserve">družbe Prve kotacije </w:t>
      </w:r>
      <w:r w:rsidR="00834EC6">
        <w:rPr>
          <w:rFonts w:ascii="Arial" w:hAnsi="Arial" w:cs="Arial"/>
          <w:color w:val="000000"/>
          <w:sz w:val="20"/>
          <w:szCs w:val="20"/>
        </w:rPr>
        <w:t xml:space="preserve">udeležile </w:t>
      </w:r>
      <w:r w:rsidR="00766247">
        <w:rPr>
          <w:rFonts w:ascii="Arial" w:hAnsi="Arial" w:cs="Arial"/>
          <w:color w:val="000000"/>
          <w:sz w:val="20"/>
          <w:szCs w:val="20"/>
        </w:rPr>
        <w:t xml:space="preserve">tudi </w:t>
      </w:r>
      <w:r w:rsidR="00834EC6">
        <w:rPr>
          <w:rFonts w:ascii="Arial" w:hAnsi="Arial" w:cs="Arial"/>
          <w:color w:val="000000"/>
          <w:sz w:val="20"/>
          <w:szCs w:val="20"/>
        </w:rPr>
        <w:t>promocijskih in predstavi</w:t>
      </w:r>
      <w:r w:rsidR="00834EC6">
        <w:rPr>
          <w:rFonts w:ascii="Arial" w:hAnsi="Arial" w:cs="Arial"/>
          <w:color w:val="000000"/>
          <w:sz w:val="20"/>
          <w:szCs w:val="20"/>
        </w:rPr>
        <w:t>t</w:t>
      </w:r>
      <w:r w:rsidR="00834EC6">
        <w:rPr>
          <w:rFonts w:ascii="Arial" w:hAnsi="Arial" w:cs="Arial"/>
          <w:color w:val="000000"/>
          <w:sz w:val="20"/>
          <w:szCs w:val="20"/>
        </w:rPr>
        <w:t>venih dogodkov v tujini</w:t>
      </w:r>
      <w:r w:rsidR="00766247">
        <w:rPr>
          <w:rFonts w:ascii="Arial" w:hAnsi="Arial" w:cs="Arial"/>
          <w:color w:val="000000"/>
          <w:sz w:val="20"/>
          <w:szCs w:val="20"/>
        </w:rPr>
        <w:t>, ki jih samostojno organizirajo člani Ljubljansk</w:t>
      </w:r>
      <w:r w:rsidR="00EB53A7">
        <w:rPr>
          <w:rFonts w:ascii="Arial" w:hAnsi="Arial" w:cs="Arial"/>
          <w:color w:val="000000"/>
          <w:sz w:val="20"/>
          <w:szCs w:val="20"/>
        </w:rPr>
        <w:t>e</w:t>
      </w:r>
      <w:r w:rsidR="00766247">
        <w:rPr>
          <w:rFonts w:ascii="Arial" w:hAnsi="Arial" w:cs="Arial"/>
          <w:color w:val="000000"/>
          <w:sz w:val="20"/>
          <w:szCs w:val="20"/>
        </w:rPr>
        <w:t xml:space="preserve"> borze.</w:t>
      </w:r>
    </w:p>
    <w:p w:rsidR="005E6CC8" w:rsidRDefault="005E6CC8" w:rsidP="005E6CC8">
      <w:pPr>
        <w:tabs>
          <w:tab w:val="left" w:pos="1620"/>
        </w:tabs>
        <w:spacing w:line="280" w:lineRule="atLeast"/>
        <w:ind w:right="45"/>
        <w:rPr>
          <w:rFonts w:ascii="Arial" w:hAnsi="Arial" w:cs="Arial"/>
          <w:color w:val="000000"/>
          <w:sz w:val="20"/>
          <w:szCs w:val="20"/>
        </w:rPr>
      </w:pPr>
    </w:p>
    <w:p w:rsidR="005C28E3" w:rsidRDefault="005C28E3" w:rsidP="004771D2">
      <w:pPr>
        <w:tabs>
          <w:tab w:val="left" w:pos="1620"/>
        </w:tabs>
        <w:spacing w:line="280" w:lineRule="atLeast"/>
        <w:ind w:right="45"/>
        <w:rPr>
          <w:rFonts w:ascii="Arial" w:hAnsi="Arial"/>
          <w:color w:val="000000"/>
          <w:sz w:val="20"/>
          <w:lang w:val="sl-SI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letu 2013 je borzni promet </w:t>
      </w:r>
      <w:r w:rsidR="00EE62D0">
        <w:rPr>
          <w:rFonts w:ascii="Arial" w:hAnsi="Arial" w:cs="Arial"/>
          <w:color w:val="000000"/>
          <w:sz w:val="20"/>
          <w:szCs w:val="20"/>
        </w:rPr>
        <w:t xml:space="preserve">kar </w:t>
      </w:r>
      <w:r>
        <w:rPr>
          <w:rFonts w:ascii="Arial" w:hAnsi="Arial" w:cs="Arial"/>
          <w:color w:val="000000"/>
          <w:sz w:val="20"/>
          <w:szCs w:val="20"/>
        </w:rPr>
        <w:t xml:space="preserve">za </w:t>
      </w:r>
      <w:r w:rsidR="00EE62D0">
        <w:rPr>
          <w:rFonts w:ascii="Arial" w:hAnsi="Arial" w:cs="Arial"/>
          <w:color w:val="000000"/>
          <w:sz w:val="20"/>
          <w:szCs w:val="20"/>
        </w:rPr>
        <w:t>38%</w:t>
      </w:r>
      <w:r>
        <w:rPr>
          <w:rFonts w:ascii="Arial" w:hAnsi="Arial" w:cs="Arial"/>
          <w:color w:val="000000"/>
          <w:sz w:val="20"/>
          <w:szCs w:val="20"/>
        </w:rPr>
        <w:t xml:space="preserve"> večji kot v enakem obdobju lani, smo pa priča precejšnjemu nihanju tečajev delnic in i</w:t>
      </w:r>
      <w:r w:rsidR="004B1EA7" w:rsidRPr="007F68A4">
        <w:rPr>
          <w:rFonts w:ascii="Arial" w:hAnsi="Arial" w:cs="Arial"/>
          <w:color w:val="000000"/>
          <w:sz w:val="20"/>
          <w:szCs w:val="20"/>
        </w:rPr>
        <w:t>ndeks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4B1EA7" w:rsidRPr="007F68A4">
        <w:rPr>
          <w:rFonts w:ascii="Arial" w:hAnsi="Arial" w:cs="Arial"/>
          <w:color w:val="000000"/>
          <w:sz w:val="20"/>
          <w:szCs w:val="20"/>
        </w:rPr>
        <w:t xml:space="preserve"> SBI TOP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817E3C">
        <w:rPr>
          <w:rFonts w:ascii="Arial" w:hAnsi="Arial" w:cs="Arial"/>
          <w:color w:val="000000"/>
          <w:sz w:val="20"/>
          <w:szCs w:val="20"/>
        </w:rPr>
        <w:t>Vzpodbudno je dejstvo</w:t>
      </w:r>
      <w:r w:rsidR="007F3FB5">
        <w:rPr>
          <w:rFonts w:ascii="Arial" w:hAnsi="Arial" w:cs="Arial"/>
          <w:color w:val="000000"/>
          <w:sz w:val="20"/>
          <w:szCs w:val="20"/>
        </w:rPr>
        <w:t>, da se</w:t>
      </w:r>
      <w:r w:rsidR="00817E3C" w:rsidRPr="007F68A4">
        <w:rPr>
          <w:rFonts w:ascii="Arial" w:hAnsi="Arial" w:cs="Arial"/>
          <w:color w:val="000000"/>
          <w:sz w:val="20"/>
          <w:szCs w:val="20"/>
        </w:rPr>
        <w:t xml:space="preserve"> </w:t>
      </w:r>
      <w:r w:rsidR="008373A6" w:rsidRPr="007F68A4">
        <w:rPr>
          <w:rFonts w:ascii="Arial" w:hAnsi="Arial" w:cs="Arial"/>
          <w:color w:val="000000"/>
          <w:sz w:val="20"/>
          <w:szCs w:val="20"/>
        </w:rPr>
        <w:t xml:space="preserve">zanimanje </w:t>
      </w:r>
      <w:r w:rsidR="00817E3C" w:rsidRPr="007F68A4">
        <w:rPr>
          <w:rFonts w:ascii="Arial" w:hAnsi="Arial" w:cs="Arial"/>
          <w:color w:val="000000"/>
          <w:sz w:val="20"/>
          <w:szCs w:val="20"/>
        </w:rPr>
        <w:t xml:space="preserve">mednarodnih vlagateljev </w:t>
      </w:r>
      <w:r w:rsidR="008373A6" w:rsidRPr="007F68A4">
        <w:rPr>
          <w:rFonts w:ascii="Arial" w:hAnsi="Arial" w:cs="Arial"/>
          <w:color w:val="000000"/>
          <w:sz w:val="20"/>
          <w:szCs w:val="20"/>
        </w:rPr>
        <w:t>za de</w:t>
      </w:r>
      <w:r w:rsidR="008373A6" w:rsidRPr="007F68A4">
        <w:rPr>
          <w:rFonts w:ascii="Arial" w:hAnsi="Arial" w:cs="Arial"/>
          <w:color w:val="000000"/>
          <w:sz w:val="20"/>
          <w:szCs w:val="20"/>
        </w:rPr>
        <w:t>l</w:t>
      </w:r>
      <w:r w:rsidR="008373A6" w:rsidRPr="007F68A4">
        <w:rPr>
          <w:rFonts w:ascii="Arial" w:hAnsi="Arial" w:cs="Arial"/>
          <w:color w:val="000000"/>
          <w:sz w:val="20"/>
          <w:szCs w:val="20"/>
        </w:rPr>
        <w:t xml:space="preserve">nice slovenskih </w:t>
      </w:r>
      <w:proofErr w:type="spellStart"/>
      <w:r w:rsidR="008373A6" w:rsidRPr="007F68A4">
        <w:rPr>
          <w:rFonts w:ascii="Arial" w:hAnsi="Arial" w:cs="Arial"/>
          <w:color w:val="000000"/>
          <w:sz w:val="20"/>
          <w:szCs w:val="20"/>
        </w:rPr>
        <w:t>družb</w:t>
      </w:r>
      <w:proofErr w:type="spellEnd"/>
      <w:r w:rsidR="008373A6" w:rsidRPr="007F68A4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8373A6" w:rsidRPr="007F68A4">
        <w:rPr>
          <w:rFonts w:ascii="Arial" w:hAnsi="Arial" w:cs="Arial"/>
          <w:color w:val="000000"/>
          <w:sz w:val="20"/>
          <w:szCs w:val="20"/>
        </w:rPr>
        <w:t>še</w:t>
      </w:r>
      <w:proofErr w:type="spellEnd"/>
      <w:r w:rsidR="008373A6" w:rsidRPr="007F68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373A6" w:rsidRPr="007F68A4">
        <w:rPr>
          <w:rFonts w:ascii="Arial" w:hAnsi="Arial" w:cs="Arial"/>
          <w:color w:val="000000"/>
          <w:sz w:val="20"/>
          <w:szCs w:val="20"/>
        </w:rPr>
        <w:t>stopnjuje</w:t>
      </w:r>
      <w:proofErr w:type="spellEnd"/>
      <w:r w:rsidR="008373A6" w:rsidRPr="007F68A4">
        <w:rPr>
          <w:rFonts w:ascii="Arial" w:hAnsi="Arial" w:cs="Arial"/>
          <w:color w:val="000000"/>
          <w:sz w:val="20"/>
          <w:szCs w:val="20"/>
        </w:rPr>
        <w:t xml:space="preserve">, </w:t>
      </w:r>
      <w:r w:rsidR="004771D2" w:rsidRPr="007F68A4">
        <w:rPr>
          <w:rFonts w:ascii="Arial" w:hAnsi="Arial" w:cs="Arial"/>
          <w:color w:val="000000"/>
          <w:sz w:val="20"/>
          <w:szCs w:val="20"/>
        </w:rPr>
        <w:t>s</w:t>
      </w:r>
      <w:proofErr w:type="spellStart"/>
      <w:r w:rsidR="009C6633" w:rsidRPr="007F68A4">
        <w:rPr>
          <w:rFonts w:ascii="Arial" w:hAnsi="Arial"/>
          <w:color w:val="000000"/>
          <w:sz w:val="20"/>
          <w:lang w:val="sl-SI"/>
        </w:rPr>
        <w:t>aj</w:t>
      </w:r>
      <w:proofErr w:type="spellEnd"/>
      <w:r w:rsidR="009C6633" w:rsidRPr="007F68A4">
        <w:rPr>
          <w:rFonts w:ascii="Arial" w:hAnsi="Arial"/>
          <w:color w:val="000000"/>
          <w:sz w:val="20"/>
          <w:lang w:val="sl-SI"/>
        </w:rPr>
        <w:t xml:space="preserve"> se njihov delež v tržni kapitalizaciji </w:t>
      </w:r>
      <w:r w:rsidR="00EA4D47">
        <w:rPr>
          <w:rFonts w:ascii="Arial" w:hAnsi="Arial"/>
          <w:color w:val="000000"/>
          <w:sz w:val="20"/>
          <w:lang w:val="sl-SI"/>
        </w:rPr>
        <w:t xml:space="preserve">delnic </w:t>
      </w:r>
      <w:r w:rsidR="009C6633" w:rsidRPr="007F68A4">
        <w:rPr>
          <w:rFonts w:ascii="Arial" w:hAnsi="Arial"/>
          <w:color w:val="000000"/>
          <w:sz w:val="20"/>
          <w:lang w:val="sl-SI"/>
        </w:rPr>
        <w:t>Ljubljanske borze vztrajno povečuje in je konec januarja 2013 znašal že 14,19%.</w:t>
      </w:r>
    </w:p>
    <w:p w:rsidR="005C28E3" w:rsidRPr="007F68A4" w:rsidRDefault="005C28E3" w:rsidP="004771D2">
      <w:pPr>
        <w:tabs>
          <w:tab w:val="left" w:pos="1620"/>
        </w:tabs>
        <w:spacing w:line="280" w:lineRule="atLeast"/>
        <w:ind w:right="45"/>
        <w:rPr>
          <w:rFonts w:ascii="Arial" w:hAnsi="Arial" w:cs="Arial"/>
          <w:color w:val="000000"/>
          <w:sz w:val="20"/>
          <w:szCs w:val="20"/>
        </w:rPr>
      </w:pPr>
    </w:p>
    <w:p w:rsidR="007F3FB5" w:rsidRDefault="007F3FB5">
      <w:pPr>
        <w:rPr>
          <w:rFonts w:ascii="Arial" w:hAnsi="Arial" w:cs="Arial"/>
          <w:i/>
          <w:sz w:val="20"/>
          <w:lang w:eastAsia="sl-SI"/>
        </w:rPr>
      </w:pPr>
    </w:p>
    <w:p w:rsidR="005E6CC8" w:rsidRPr="00903EF9" w:rsidRDefault="005E6CC8" w:rsidP="005E6CC8">
      <w:pPr>
        <w:tabs>
          <w:tab w:val="left" w:pos="1620"/>
        </w:tabs>
        <w:spacing w:line="280" w:lineRule="atLeast"/>
        <w:ind w:right="45"/>
        <w:rPr>
          <w:rFonts w:ascii="Arial" w:hAnsi="Arial" w:cs="Arial"/>
          <w:i/>
          <w:sz w:val="20"/>
          <w:lang w:eastAsia="sl-SI"/>
        </w:rPr>
      </w:pPr>
      <w:r>
        <w:rPr>
          <w:rFonts w:ascii="Arial" w:hAnsi="Arial" w:cs="Arial"/>
          <w:i/>
          <w:sz w:val="20"/>
          <w:lang w:eastAsia="sl-SI"/>
        </w:rPr>
        <w:lastRenderedPageBreak/>
        <w:t>Tabela</w:t>
      </w:r>
      <w:r w:rsidRPr="00903EF9">
        <w:rPr>
          <w:rFonts w:ascii="Arial" w:hAnsi="Arial" w:cs="Arial"/>
          <w:i/>
          <w:sz w:val="20"/>
          <w:lang w:eastAsia="sl-SI"/>
        </w:rPr>
        <w:t>: Struktura prometa Prve kotacije</w:t>
      </w:r>
    </w:p>
    <w:p w:rsidR="005E6CC8" w:rsidRPr="00903EF9" w:rsidRDefault="005E6CC8" w:rsidP="005E6CC8">
      <w:pPr>
        <w:tabs>
          <w:tab w:val="left" w:pos="1620"/>
        </w:tabs>
        <w:spacing w:line="280" w:lineRule="atLeast"/>
        <w:ind w:right="45"/>
        <w:jc w:val="center"/>
        <w:rPr>
          <w:rFonts w:ascii="Arial" w:hAnsi="Arial" w:cs="Arial"/>
          <w:i/>
          <w:sz w:val="20"/>
          <w:lang w:eastAsia="sl-SI"/>
        </w:rPr>
      </w:pPr>
      <w:bookmarkStart w:id="0" w:name="_GoBack"/>
      <w:r w:rsidRPr="00903EF9">
        <w:rPr>
          <w:rFonts w:ascii="Arial" w:hAnsi="Arial" w:cs="Arial"/>
          <w:i/>
          <w:noProof/>
          <w:sz w:val="20"/>
          <w:lang w:val="en-US" w:eastAsia="zh-CN"/>
        </w:rPr>
        <w:drawing>
          <wp:inline distT="0" distB="0" distL="0" distR="0" wp14:anchorId="3A7452FF" wp14:editId="1BA0DCA7">
            <wp:extent cx="6210604" cy="342631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076" cy="3443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E6CC8" w:rsidRDefault="00E05D8A" w:rsidP="005E6CC8">
      <w:pPr>
        <w:spacing w:line="280" w:lineRule="atLeast"/>
        <w:rPr>
          <w:rFonts w:ascii="Arial" w:hAnsi="Arial" w:cs="Arial"/>
          <w:color w:val="000000"/>
          <w:sz w:val="18"/>
          <w:szCs w:val="18"/>
        </w:rPr>
      </w:pPr>
      <w:r w:rsidRPr="00E05D8A">
        <w:rPr>
          <w:rFonts w:ascii="Arial" w:hAnsi="Arial" w:cs="Arial"/>
          <w:color w:val="000000"/>
          <w:sz w:val="18"/>
          <w:szCs w:val="18"/>
        </w:rPr>
        <w:t xml:space="preserve"> </w:t>
      </w:r>
      <w:r w:rsidR="005E6CC8" w:rsidRPr="00E05D8A">
        <w:rPr>
          <w:rFonts w:ascii="Arial" w:hAnsi="Arial" w:cs="Arial"/>
          <w:color w:val="000000"/>
          <w:sz w:val="18"/>
          <w:szCs w:val="18"/>
        </w:rPr>
        <w:t>Vir: LJSE, KDD</w:t>
      </w:r>
    </w:p>
    <w:p w:rsidR="00C86B03" w:rsidRPr="00E05D8A" w:rsidRDefault="00C86B03" w:rsidP="005E6CC8">
      <w:pPr>
        <w:spacing w:line="280" w:lineRule="atLeast"/>
        <w:rPr>
          <w:rFonts w:ascii="Arial" w:hAnsi="Arial" w:cs="Arial"/>
          <w:color w:val="000000"/>
          <w:sz w:val="18"/>
          <w:szCs w:val="18"/>
        </w:rPr>
      </w:pPr>
    </w:p>
    <w:p w:rsidR="00C3757E" w:rsidRPr="00C86B03" w:rsidRDefault="00C86B03" w:rsidP="00F74223">
      <w:pPr>
        <w:spacing w:line="280" w:lineRule="atLeast"/>
        <w:ind w:right="561"/>
        <w:rPr>
          <w:rFonts w:ascii="Arial" w:hAnsi="Arial"/>
          <w:i/>
          <w:color w:val="000000"/>
          <w:sz w:val="20"/>
          <w:lang w:val="sl-SI"/>
        </w:rPr>
      </w:pPr>
      <w:r w:rsidRPr="00C86B03">
        <w:rPr>
          <w:rFonts w:ascii="Arial" w:hAnsi="Arial"/>
          <w:i/>
          <w:color w:val="000000"/>
          <w:sz w:val="20"/>
          <w:lang w:val="sl-SI"/>
        </w:rPr>
        <w:t>Tabela: Delež tujih vlagateljev v tržni kapitalizaciji delnic Ljubljanske borze od 31.1.2012 do 31.1.2013</w:t>
      </w:r>
    </w:p>
    <w:p w:rsidR="00EA4D47" w:rsidRDefault="000630A8" w:rsidP="00EA4D47">
      <w:pPr>
        <w:spacing w:line="280" w:lineRule="atLeast"/>
        <w:ind w:right="561"/>
        <w:rPr>
          <w:rFonts w:ascii="Arial" w:hAnsi="Arial" w:cs="Arial"/>
          <w:color w:val="000000"/>
          <w:sz w:val="18"/>
          <w:szCs w:val="18"/>
        </w:rPr>
      </w:pPr>
      <w:r w:rsidRPr="000630A8">
        <w:rPr>
          <w:rFonts w:ascii="Arial" w:hAnsi="Arial"/>
          <w:b/>
          <w:noProof/>
          <w:color w:val="000000"/>
          <w:sz w:val="20"/>
          <w:lang w:val="en-US" w:eastAsia="zh-CN"/>
        </w:rPr>
        <w:drawing>
          <wp:inline distT="0" distB="0" distL="0" distR="0" wp14:anchorId="6DA3AC55" wp14:editId="3B1734D0">
            <wp:extent cx="4572000" cy="27432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30A8" w:rsidRPr="00E05D8A" w:rsidRDefault="000630A8" w:rsidP="00EA4D47">
      <w:pPr>
        <w:spacing w:line="280" w:lineRule="atLeast"/>
        <w:ind w:right="561"/>
        <w:rPr>
          <w:rFonts w:ascii="Arial" w:hAnsi="Arial" w:cs="Arial"/>
          <w:color w:val="000000"/>
          <w:sz w:val="18"/>
          <w:szCs w:val="18"/>
        </w:rPr>
      </w:pPr>
      <w:r w:rsidRPr="00E05D8A">
        <w:rPr>
          <w:rFonts w:ascii="Arial" w:hAnsi="Arial" w:cs="Arial"/>
          <w:color w:val="000000"/>
          <w:sz w:val="18"/>
          <w:szCs w:val="18"/>
        </w:rPr>
        <w:t>Vir: LJSE</w:t>
      </w:r>
    </w:p>
    <w:p w:rsidR="000630A8" w:rsidRDefault="000630A8" w:rsidP="0072621B">
      <w:pPr>
        <w:spacing w:line="280" w:lineRule="atLeast"/>
        <w:ind w:right="561"/>
        <w:rPr>
          <w:rFonts w:ascii="Arial" w:hAnsi="Arial"/>
          <w:b/>
          <w:color w:val="000000"/>
          <w:sz w:val="20"/>
          <w:lang w:val="sl-SI"/>
        </w:rPr>
      </w:pPr>
    </w:p>
    <w:p w:rsidR="00C3757E" w:rsidRPr="00162500" w:rsidRDefault="00C104A4" w:rsidP="0072621B">
      <w:pPr>
        <w:spacing w:line="280" w:lineRule="atLeast"/>
        <w:ind w:right="561"/>
        <w:rPr>
          <w:rFonts w:ascii="Arial" w:hAnsi="Arial"/>
          <w:b/>
          <w:color w:val="000000"/>
          <w:sz w:val="20"/>
          <w:lang w:val="sl-SI"/>
        </w:rPr>
      </w:pPr>
      <w:r>
        <w:rPr>
          <w:rFonts w:ascii="Arial" w:hAnsi="Arial"/>
          <w:b/>
          <w:color w:val="000000"/>
          <w:sz w:val="20"/>
          <w:lang w:val="sl-SI"/>
        </w:rPr>
        <w:t>K</w:t>
      </w:r>
      <w:r w:rsidR="00C3757E" w:rsidRPr="00162500">
        <w:rPr>
          <w:rFonts w:ascii="Arial" w:hAnsi="Arial"/>
          <w:b/>
          <w:color w:val="000000"/>
          <w:sz w:val="20"/>
          <w:lang w:val="sl-SI"/>
        </w:rPr>
        <w:t>ontakt :</w:t>
      </w:r>
    </w:p>
    <w:p w:rsidR="00C3757E" w:rsidRPr="009E36E5" w:rsidRDefault="00C104A4" w:rsidP="0072621B">
      <w:pPr>
        <w:spacing w:line="280" w:lineRule="atLeast"/>
        <w:ind w:right="561"/>
        <w:rPr>
          <w:rFonts w:ascii="Arial" w:hAnsi="Arial"/>
          <w:color w:val="000000"/>
          <w:sz w:val="20"/>
          <w:lang w:val="sl-SI"/>
        </w:rPr>
      </w:pPr>
      <w:r w:rsidRPr="009E36E5">
        <w:rPr>
          <w:rFonts w:ascii="Arial" w:hAnsi="Arial"/>
          <w:color w:val="000000"/>
          <w:sz w:val="20"/>
          <w:lang w:val="sl-SI"/>
        </w:rPr>
        <w:t>Metka Šipek</w:t>
      </w:r>
      <w:r w:rsidR="00C3757E" w:rsidRPr="009E36E5">
        <w:rPr>
          <w:rFonts w:ascii="Arial" w:hAnsi="Arial"/>
          <w:color w:val="000000"/>
          <w:sz w:val="20"/>
          <w:lang w:val="sl-SI"/>
        </w:rPr>
        <w:t xml:space="preserve">, vodja kabineta uprave </w:t>
      </w:r>
    </w:p>
    <w:p w:rsidR="00C3757E" w:rsidRPr="009E36E5" w:rsidRDefault="00C3757E" w:rsidP="0072621B">
      <w:pPr>
        <w:spacing w:line="280" w:lineRule="atLeast"/>
        <w:ind w:right="561"/>
        <w:rPr>
          <w:rFonts w:ascii="Arial" w:hAnsi="Arial"/>
          <w:color w:val="000000"/>
          <w:sz w:val="20"/>
          <w:lang w:val="sl-SI"/>
        </w:rPr>
      </w:pPr>
      <w:r w:rsidRPr="009E36E5">
        <w:rPr>
          <w:rFonts w:ascii="Arial" w:hAnsi="Arial"/>
          <w:color w:val="000000"/>
          <w:sz w:val="20"/>
          <w:lang w:val="sl-SI"/>
        </w:rPr>
        <w:t>in odnosov z javnostmi</w:t>
      </w:r>
    </w:p>
    <w:p w:rsidR="00C3757E" w:rsidRPr="009E36E5" w:rsidRDefault="00C3757E" w:rsidP="0072621B">
      <w:pPr>
        <w:spacing w:line="280" w:lineRule="atLeast"/>
        <w:ind w:right="561"/>
        <w:rPr>
          <w:rFonts w:ascii="Arial" w:hAnsi="Arial"/>
          <w:color w:val="000000"/>
          <w:sz w:val="20"/>
          <w:lang w:val="sl-SI"/>
        </w:rPr>
      </w:pPr>
      <w:r w:rsidRPr="009E36E5">
        <w:rPr>
          <w:rFonts w:ascii="Arial" w:hAnsi="Arial"/>
          <w:color w:val="000000"/>
          <w:sz w:val="20"/>
          <w:lang w:val="sl-SI"/>
        </w:rPr>
        <w:t>Telefon: 01/471 0221</w:t>
      </w:r>
    </w:p>
    <w:p w:rsidR="00C3757E" w:rsidRPr="009E36E5" w:rsidRDefault="00C3757E" w:rsidP="0072621B">
      <w:pPr>
        <w:spacing w:line="280" w:lineRule="atLeast"/>
        <w:ind w:right="561"/>
        <w:rPr>
          <w:rFonts w:ascii="Arial" w:hAnsi="Arial" w:cs="Arial"/>
          <w:sz w:val="20"/>
          <w:szCs w:val="20"/>
          <w:lang w:val="sl-SI"/>
        </w:rPr>
      </w:pPr>
      <w:r w:rsidRPr="009E36E5">
        <w:rPr>
          <w:rFonts w:ascii="Arial" w:hAnsi="Arial" w:cs="Arial"/>
          <w:sz w:val="20"/>
          <w:szCs w:val="20"/>
          <w:lang w:val="sl-SI"/>
        </w:rPr>
        <w:t xml:space="preserve">E-pošta: </w:t>
      </w:r>
      <w:r w:rsidR="00C104A4" w:rsidRPr="009E36E5">
        <w:rPr>
          <w:rFonts w:ascii="Arial" w:hAnsi="Arial" w:cs="Arial"/>
          <w:sz w:val="20"/>
          <w:szCs w:val="20"/>
          <w:lang w:val="sl-SI"/>
        </w:rPr>
        <w:t>metka.sipek</w:t>
      </w:r>
      <w:r w:rsidRPr="009E36E5">
        <w:rPr>
          <w:rFonts w:ascii="Arial" w:hAnsi="Arial" w:cs="Arial"/>
          <w:sz w:val="20"/>
          <w:szCs w:val="20"/>
          <w:lang w:val="sl-SI"/>
        </w:rPr>
        <w:t xml:space="preserve">@ljse.si </w:t>
      </w:r>
    </w:p>
    <w:p w:rsidR="00C3757E" w:rsidRPr="00162500" w:rsidRDefault="00C3757E" w:rsidP="00F74223">
      <w:pPr>
        <w:tabs>
          <w:tab w:val="left" w:pos="1620"/>
        </w:tabs>
        <w:spacing w:line="280" w:lineRule="atLeast"/>
        <w:ind w:right="561"/>
        <w:rPr>
          <w:rFonts w:ascii="Arial" w:hAnsi="Arial" w:cs="Arial"/>
          <w:sz w:val="20"/>
          <w:szCs w:val="20"/>
          <w:lang w:val="sl-SI"/>
        </w:rPr>
      </w:pPr>
    </w:p>
    <w:sectPr w:rsidR="00C3757E" w:rsidRPr="00162500" w:rsidSect="00F74223">
      <w:headerReference w:type="default" r:id="rId11"/>
      <w:footerReference w:type="default" r:id="rId12"/>
      <w:pgSz w:w="11906" w:h="16838"/>
      <w:pgMar w:top="2268" w:right="567" w:bottom="567" w:left="1418" w:header="709" w:footer="709" w:gutter="0"/>
      <w:cols w:space="708" w:equalWidth="0">
        <w:col w:w="992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FB" w:rsidRDefault="004305FB">
      <w:r>
        <w:separator/>
      </w:r>
    </w:p>
  </w:endnote>
  <w:endnote w:type="continuationSeparator" w:id="0">
    <w:p w:rsidR="004305FB" w:rsidRDefault="0043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7E" w:rsidRPr="00522C1E" w:rsidRDefault="00C53AD4" w:rsidP="00522C1E">
    <w:pPr>
      <w:pStyle w:val="Footer"/>
      <w:rPr>
        <w:rFonts w:ascii="Arial" w:hAnsi="Arial" w:cs="Arial"/>
        <w:sz w:val="15"/>
      </w:rPr>
    </w:pPr>
    <w:r>
      <w:rPr>
        <w:noProof/>
        <w:lang w:val="en-US" w:eastAsia="zh-CN"/>
      </w:rPr>
      <w:drawing>
        <wp:anchor distT="0" distB="0" distL="114300" distR="114300" simplePos="0" relativeHeight="251657728" behindDoc="0" locked="0" layoutInCell="1" allowOverlap="1" wp14:anchorId="7AC1E61A" wp14:editId="7BA572AC">
          <wp:simplePos x="0" y="0"/>
          <wp:positionH relativeFrom="column">
            <wp:posOffset>4637405</wp:posOffset>
          </wp:positionH>
          <wp:positionV relativeFrom="paragraph">
            <wp:posOffset>-11430</wp:posOffset>
          </wp:positionV>
          <wp:extent cx="1485900" cy="5346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98" t="40500" r="11798" b="40500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57E" w:rsidRPr="00522C1E">
      <w:rPr>
        <w:rFonts w:ascii="Arial" w:hAnsi="Arial" w:cs="Arial"/>
        <w:sz w:val="15"/>
      </w:rPr>
      <w:t>Ljubljanska borza, d. d., Ljubljana, Slovenska cesta 56, 1000 Ljubljana</w:t>
    </w:r>
  </w:p>
  <w:p w:rsidR="00C3757E" w:rsidRPr="00522C1E" w:rsidRDefault="00C3757E" w:rsidP="00522C1E">
    <w:pPr>
      <w:pStyle w:val="Footer"/>
      <w:rPr>
        <w:rFonts w:ascii="Arial" w:hAnsi="Arial" w:cs="Arial"/>
        <w:sz w:val="12"/>
        <w:szCs w:val="12"/>
      </w:rPr>
    </w:pPr>
    <w:r w:rsidRPr="00522C1E">
      <w:rPr>
        <w:rFonts w:ascii="Arial" w:hAnsi="Arial" w:cs="Arial"/>
        <w:sz w:val="15"/>
        <w:szCs w:val="15"/>
      </w:rPr>
      <w:t xml:space="preserve">T (01) 471 </w:t>
    </w:r>
    <w:smartTag w:uri="urn:schemas-microsoft-com:office:smarttags" w:element="metricconverter">
      <w:smartTagPr>
        <w:attr w:name="ProductID" w:val="0211, F"/>
      </w:smartTagPr>
      <w:r w:rsidRPr="00522C1E">
        <w:rPr>
          <w:rFonts w:ascii="Arial" w:hAnsi="Arial" w:cs="Arial"/>
          <w:sz w:val="15"/>
          <w:szCs w:val="15"/>
        </w:rPr>
        <w:t>0211, F</w:t>
      </w:r>
    </w:smartTag>
    <w:r w:rsidRPr="00522C1E">
      <w:rPr>
        <w:rFonts w:ascii="Arial" w:hAnsi="Arial" w:cs="Arial"/>
        <w:sz w:val="15"/>
        <w:szCs w:val="15"/>
      </w:rPr>
      <w:t xml:space="preserve"> (01) 471 0213, E info@ljse.si, http://www.ljse.si</w:t>
    </w:r>
  </w:p>
  <w:p w:rsidR="00C3757E" w:rsidRPr="00522C1E" w:rsidRDefault="00C3757E" w:rsidP="00522C1E">
    <w:pPr>
      <w:pStyle w:val="Footer"/>
      <w:rPr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FB" w:rsidRDefault="004305FB">
      <w:r>
        <w:separator/>
      </w:r>
    </w:p>
  </w:footnote>
  <w:footnote w:type="continuationSeparator" w:id="0">
    <w:p w:rsidR="004305FB" w:rsidRDefault="00430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7E" w:rsidRPr="00721326" w:rsidRDefault="00C53AD4" w:rsidP="00F74223">
    <w:pPr>
      <w:pStyle w:val="Header"/>
      <w:spacing w:line="240" w:lineRule="atLeast"/>
      <w:ind w:right="153"/>
      <w:rPr>
        <w:rFonts w:ascii="Arial" w:hAnsi="Arial"/>
        <w:b/>
        <w:sz w:val="20"/>
        <w:szCs w:val="20"/>
        <w:lang w:val="en-GB"/>
      </w:rPr>
    </w:pPr>
    <w:r>
      <w:rPr>
        <w:noProof/>
        <w:lang w:val="en-US" w:eastAsia="zh-CN"/>
      </w:rPr>
      <w:drawing>
        <wp:anchor distT="0" distB="0" distL="114300" distR="114300" simplePos="0" relativeHeight="251658752" behindDoc="0" locked="0" layoutInCell="1" allowOverlap="1" wp14:anchorId="6D470F3F" wp14:editId="5A20C811">
          <wp:simplePos x="0" y="0"/>
          <wp:positionH relativeFrom="column">
            <wp:posOffset>4889500</wp:posOffset>
          </wp:positionH>
          <wp:positionV relativeFrom="paragraph">
            <wp:posOffset>24765</wp:posOffset>
          </wp:positionV>
          <wp:extent cx="965200" cy="685800"/>
          <wp:effectExtent l="0" t="0" r="635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958" w:rsidRDefault="00E93958" w:rsidP="00F74223">
    <w:pPr>
      <w:pStyle w:val="Header"/>
      <w:spacing w:line="280" w:lineRule="atLeast"/>
      <w:ind w:right="153"/>
      <w:rPr>
        <w:rFonts w:ascii="Arial" w:hAnsi="Arial"/>
        <w:b/>
        <w:color w:val="D10019"/>
        <w:sz w:val="40"/>
        <w:szCs w:val="40"/>
        <w:lang w:val="en-GB"/>
      </w:rPr>
    </w:pPr>
    <w:proofErr w:type="spellStart"/>
    <w:r>
      <w:rPr>
        <w:rFonts w:ascii="Arial" w:hAnsi="Arial"/>
        <w:b/>
        <w:color w:val="D10019"/>
        <w:sz w:val="40"/>
        <w:szCs w:val="40"/>
        <w:lang w:val="en-GB"/>
      </w:rPr>
      <w:t>Slovenske</w:t>
    </w:r>
    <w:proofErr w:type="spellEnd"/>
    <w:r>
      <w:rPr>
        <w:rFonts w:ascii="Arial" w:hAnsi="Arial"/>
        <w:b/>
        <w:color w:val="D10019"/>
        <w:sz w:val="40"/>
        <w:szCs w:val="40"/>
        <w:lang w:val="en-GB"/>
      </w:rPr>
      <w:t xml:space="preserve"> </w:t>
    </w:r>
    <w:proofErr w:type="spellStart"/>
    <w:r>
      <w:rPr>
        <w:rFonts w:ascii="Arial" w:hAnsi="Arial"/>
        <w:b/>
        <w:color w:val="D10019"/>
        <w:sz w:val="40"/>
        <w:szCs w:val="40"/>
        <w:lang w:val="en-GB"/>
      </w:rPr>
      <w:t>delnice</w:t>
    </w:r>
    <w:proofErr w:type="spellEnd"/>
    <w:r>
      <w:rPr>
        <w:rFonts w:ascii="Arial" w:hAnsi="Arial"/>
        <w:b/>
        <w:color w:val="D10019"/>
        <w:sz w:val="40"/>
        <w:szCs w:val="40"/>
        <w:lang w:val="en-GB"/>
      </w:rPr>
      <w:t xml:space="preserve"> </w:t>
    </w:r>
    <w:proofErr w:type="spellStart"/>
    <w:r>
      <w:rPr>
        <w:rFonts w:ascii="Arial" w:hAnsi="Arial"/>
        <w:b/>
        <w:color w:val="D10019"/>
        <w:sz w:val="40"/>
        <w:szCs w:val="40"/>
        <w:lang w:val="en-GB"/>
      </w:rPr>
      <w:t>zanimive</w:t>
    </w:r>
    <w:proofErr w:type="spellEnd"/>
    <w:r>
      <w:rPr>
        <w:rFonts w:ascii="Arial" w:hAnsi="Arial"/>
        <w:b/>
        <w:color w:val="D10019"/>
        <w:sz w:val="40"/>
        <w:szCs w:val="40"/>
        <w:lang w:val="en-GB"/>
      </w:rPr>
      <w:t xml:space="preserve"> </w:t>
    </w:r>
    <w:proofErr w:type="spellStart"/>
    <w:r>
      <w:rPr>
        <w:rFonts w:ascii="Arial" w:hAnsi="Arial"/>
        <w:b/>
        <w:color w:val="D10019"/>
        <w:sz w:val="40"/>
        <w:szCs w:val="40"/>
        <w:lang w:val="en-GB"/>
      </w:rPr>
      <w:t>za</w:t>
    </w:r>
    <w:proofErr w:type="spellEnd"/>
    <w:r>
      <w:rPr>
        <w:rFonts w:ascii="Arial" w:hAnsi="Arial"/>
        <w:b/>
        <w:color w:val="D10019"/>
        <w:sz w:val="40"/>
        <w:szCs w:val="40"/>
        <w:lang w:val="en-GB"/>
      </w:rPr>
      <w:t xml:space="preserve"> </w:t>
    </w:r>
    <w:proofErr w:type="spellStart"/>
    <w:r>
      <w:rPr>
        <w:rFonts w:ascii="Arial" w:hAnsi="Arial"/>
        <w:b/>
        <w:color w:val="D10019"/>
        <w:sz w:val="40"/>
        <w:szCs w:val="40"/>
        <w:lang w:val="en-GB"/>
      </w:rPr>
      <w:t>tuje</w:t>
    </w:r>
    <w:proofErr w:type="spellEnd"/>
  </w:p>
  <w:p w:rsidR="00E93958" w:rsidRPr="002E23AC" w:rsidRDefault="00E93958" w:rsidP="00F74223">
    <w:pPr>
      <w:pStyle w:val="Header"/>
      <w:spacing w:line="280" w:lineRule="atLeast"/>
      <w:ind w:right="153"/>
      <w:rPr>
        <w:rFonts w:ascii="Arial" w:hAnsi="Arial"/>
        <w:b/>
        <w:color w:val="D10019"/>
        <w:sz w:val="40"/>
        <w:szCs w:val="40"/>
        <w:lang w:val="en-GB"/>
      </w:rPr>
    </w:pPr>
    <w:proofErr w:type="spellStart"/>
    <w:proofErr w:type="gramStart"/>
    <w:r>
      <w:rPr>
        <w:rFonts w:ascii="Arial" w:hAnsi="Arial"/>
        <w:b/>
        <w:color w:val="D10019"/>
        <w:sz w:val="40"/>
        <w:szCs w:val="40"/>
        <w:lang w:val="en-GB"/>
      </w:rPr>
      <w:t>vlagatelje</w:t>
    </w:r>
    <w:proofErr w:type="spellEnd"/>
    <w:proofErr w:type="gramEnd"/>
  </w:p>
  <w:p w:rsidR="00E93958" w:rsidRDefault="00E93958"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A80879" wp14:editId="6759CAB1">
              <wp:simplePos x="0" y="0"/>
              <wp:positionH relativeFrom="column">
                <wp:posOffset>-635</wp:posOffset>
              </wp:positionH>
              <wp:positionV relativeFrom="paragraph">
                <wp:posOffset>59690</wp:posOffset>
              </wp:positionV>
              <wp:extent cx="6163310" cy="635"/>
              <wp:effectExtent l="0" t="0" r="27940" b="1841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3310" cy="635"/>
                      </a:xfrm>
                      <a:custGeom>
                        <a:avLst/>
                        <a:gdLst>
                          <a:gd name="T0" fmla="*/ 0 w 9817"/>
                          <a:gd name="T1" fmla="*/ 0 h 1"/>
                          <a:gd name="T2" fmla="*/ 9817 w 9817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17" h="1">
                            <a:moveTo>
                              <a:pt x="0" y="0"/>
                            </a:moveTo>
                            <a:lnTo>
                              <a:pt x="9817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D100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-.05pt;margin-top:4.7pt;width:485.3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" path="m,l9817,e" filled="f" strokecolor="#d10019">
              <v:path arrowok="t" o:connecttype="custom" o:connectlocs="0,0;6163310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DED"/>
    <w:multiLevelType w:val="hybridMultilevel"/>
    <w:tmpl w:val="634A6F98"/>
    <w:lvl w:ilvl="0" w:tplc="207694DC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6476C"/>
    <w:multiLevelType w:val="hybridMultilevel"/>
    <w:tmpl w:val="D8C489A2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999999"/>
        <w:u w:color="999999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904591"/>
    <w:multiLevelType w:val="hybridMultilevel"/>
    <w:tmpl w:val="08C48954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999999"/>
        <w:u w:color="999999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777457"/>
    <w:multiLevelType w:val="hybridMultilevel"/>
    <w:tmpl w:val="21D8B638"/>
    <w:lvl w:ilvl="0" w:tplc="8D128F44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E63AA2"/>
    <w:multiLevelType w:val="hybridMultilevel"/>
    <w:tmpl w:val="2006D444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9999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EB67EE"/>
    <w:multiLevelType w:val="hybridMultilevel"/>
    <w:tmpl w:val="D236075E"/>
    <w:lvl w:ilvl="0" w:tplc="736A455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3D28F8"/>
    <w:multiLevelType w:val="hybridMultilevel"/>
    <w:tmpl w:val="7A1C0FF8"/>
    <w:lvl w:ilvl="0" w:tplc="494A108E">
      <w:start w:val="1"/>
      <w:numFmt w:val="bullet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CD0005"/>
        <w:sz w:val="20"/>
        <w:szCs w:val="20"/>
        <w:u w:val="none" w:color="999999"/>
        <w:effect w:val="none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74C48"/>
    <w:multiLevelType w:val="multilevel"/>
    <w:tmpl w:val="21D8B63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EE76761"/>
    <w:multiLevelType w:val="multilevel"/>
    <w:tmpl w:val="D236075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4138BB"/>
    <w:multiLevelType w:val="hybridMultilevel"/>
    <w:tmpl w:val="AE684856"/>
    <w:lvl w:ilvl="0" w:tplc="8D128F4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1013B6"/>
    <w:multiLevelType w:val="hybridMultilevel"/>
    <w:tmpl w:val="A7F021E0"/>
    <w:lvl w:ilvl="0" w:tplc="9DE2722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D10019"/>
        <w:sz w:val="20"/>
        <w:u w:color="999999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0576B"/>
    <w:multiLevelType w:val="hybridMultilevel"/>
    <w:tmpl w:val="EEB88B88"/>
    <w:lvl w:ilvl="0" w:tplc="46848912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0948D1"/>
    <w:multiLevelType w:val="hybridMultilevel"/>
    <w:tmpl w:val="99CA84F2"/>
    <w:lvl w:ilvl="0" w:tplc="8368D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38"/>
    <w:rsid w:val="000630A8"/>
    <w:rsid w:val="000A66FC"/>
    <w:rsid w:val="00132AA3"/>
    <w:rsid w:val="00152E30"/>
    <w:rsid w:val="00162500"/>
    <w:rsid w:val="00192033"/>
    <w:rsid w:val="00195C8E"/>
    <w:rsid w:val="001A49C4"/>
    <w:rsid w:val="001B7FB3"/>
    <w:rsid w:val="001D5C7F"/>
    <w:rsid w:val="00210867"/>
    <w:rsid w:val="002435C3"/>
    <w:rsid w:val="00253307"/>
    <w:rsid w:val="0029717F"/>
    <w:rsid w:val="002B49F2"/>
    <w:rsid w:val="002E13F8"/>
    <w:rsid w:val="002E23AC"/>
    <w:rsid w:val="00370FB6"/>
    <w:rsid w:val="00377EA0"/>
    <w:rsid w:val="003A28F0"/>
    <w:rsid w:val="003B56A5"/>
    <w:rsid w:val="003F7B8F"/>
    <w:rsid w:val="00411B74"/>
    <w:rsid w:val="004305FB"/>
    <w:rsid w:val="00472AA9"/>
    <w:rsid w:val="004771D2"/>
    <w:rsid w:val="0048207E"/>
    <w:rsid w:val="004B1EA7"/>
    <w:rsid w:val="004E0168"/>
    <w:rsid w:val="0050681E"/>
    <w:rsid w:val="00512201"/>
    <w:rsid w:val="00522C1E"/>
    <w:rsid w:val="00544BD3"/>
    <w:rsid w:val="00556C81"/>
    <w:rsid w:val="005B5B9D"/>
    <w:rsid w:val="005C28E3"/>
    <w:rsid w:val="005C60E9"/>
    <w:rsid w:val="005E6CC8"/>
    <w:rsid w:val="00632A99"/>
    <w:rsid w:val="00633090"/>
    <w:rsid w:val="006B078B"/>
    <w:rsid w:val="006C63CF"/>
    <w:rsid w:val="006F0A26"/>
    <w:rsid w:val="007163FF"/>
    <w:rsid w:val="00721326"/>
    <w:rsid w:val="0072621B"/>
    <w:rsid w:val="00766247"/>
    <w:rsid w:val="007E66CD"/>
    <w:rsid w:val="007F3FB5"/>
    <w:rsid w:val="007F68A4"/>
    <w:rsid w:val="00817E3C"/>
    <w:rsid w:val="00834C9B"/>
    <w:rsid w:val="00834EC6"/>
    <w:rsid w:val="008373A6"/>
    <w:rsid w:val="00871B83"/>
    <w:rsid w:val="00890BCC"/>
    <w:rsid w:val="008B1467"/>
    <w:rsid w:val="008D39ED"/>
    <w:rsid w:val="008F0A0B"/>
    <w:rsid w:val="00906A22"/>
    <w:rsid w:val="009116AE"/>
    <w:rsid w:val="00917CA3"/>
    <w:rsid w:val="009318D0"/>
    <w:rsid w:val="00944AD3"/>
    <w:rsid w:val="009A20A2"/>
    <w:rsid w:val="009B5E51"/>
    <w:rsid w:val="009C0FDD"/>
    <w:rsid w:val="009C6633"/>
    <w:rsid w:val="009E36E5"/>
    <w:rsid w:val="009F4EB3"/>
    <w:rsid w:val="00A47FA5"/>
    <w:rsid w:val="00A7091B"/>
    <w:rsid w:val="00A84EAD"/>
    <w:rsid w:val="00AA7F5D"/>
    <w:rsid w:val="00AC7E15"/>
    <w:rsid w:val="00AE300B"/>
    <w:rsid w:val="00B03A4B"/>
    <w:rsid w:val="00B128ED"/>
    <w:rsid w:val="00B471EF"/>
    <w:rsid w:val="00BE5181"/>
    <w:rsid w:val="00BF65AC"/>
    <w:rsid w:val="00C104A4"/>
    <w:rsid w:val="00C12ADA"/>
    <w:rsid w:val="00C3757E"/>
    <w:rsid w:val="00C53AD4"/>
    <w:rsid w:val="00C77805"/>
    <w:rsid w:val="00C86B03"/>
    <w:rsid w:val="00C93483"/>
    <w:rsid w:val="00C94153"/>
    <w:rsid w:val="00D003FE"/>
    <w:rsid w:val="00D01428"/>
    <w:rsid w:val="00D2609A"/>
    <w:rsid w:val="00DB5D86"/>
    <w:rsid w:val="00E05D8A"/>
    <w:rsid w:val="00E45288"/>
    <w:rsid w:val="00E54DEC"/>
    <w:rsid w:val="00E93958"/>
    <w:rsid w:val="00EA4D47"/>
    <w:rsid w:val="00EB53A7"/>
    <w:rsid w:val="00EE62D0"/>
    <w:rsid w:val="00F01365"/>
    <w:rsid w:val="00F262E4"/>
    <w:rsid w:val="00F26C9B"/>
    <w:rsid w:val="00F60338"/>
    <w:rsid w:val="00F618B0"/>
    <w:rsid w:val="00F67FE1"/>
    <w:rsid w:val="00F74223"/>
    <w:rsid w:val="00F76BD4"/>
    <w:rsid w:val="00F90E18"/>
    <w:rsid w:val="00F96D41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91B"/>
    <w:rPr>
      <w:sz w:val="24"/>
      <w:szCs w:val="24"/>
      <w:lang w:val="de-AT" w:eastAsia="de-AT"/>
    </w:rPr>
  </w:style>
  <w:style w:type="paragraph" w:styleId="Heading1">
    <w:name w:val="heading 1"/>
    <w:basedOn w:val="Normal"/>
    <w:next w:val="Normal"/>
    <w:link w:val="Heading1Char"/>
    <w:qFormat/>
    <w:rsid w:val="00A7091B"/>
    <w:pPr>
      <w:keepNext/>
      <w:spacing w:after="60" w:line="220" w:lineRule="atLeast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7091B"/>
    <w:pPr>
      <w:keepNext/>
      <w:spacing w:line="220" w:lineRule="atLeast"/>
      <w:jc w:val="both"/>
      <w:outlineLvl w:val="1"/>
    </w:pPr>
    <w:rPr>
      <w:rFonts w:ascii="Arial" w:hAnsi="Arial"/>
      <w:b/>
      <w:color w:val="CF0000"/>
      <w:sz w:val="20"/>
    </w:rPr>
  </w:style>
  <w:style w:type="paragraph" w:styleId="Heading3">
    <w:name w:val="heading 3"/>
    <w:basedOn w:val="Normal"/>
    <w:next w:val="Normal"/>
    <w:link w:val="Heading3Char"/>
    <w:qFormat/>
    <w:rsid w:val="00A7091B"/>
    <w:pPr>
      <w:keepNext/>
      <w:jc w:val="center"/>
      <w:outlineLvl w:val="2"/>
    </w:pPr>
    <w:rPr>
      <w:rFonts w:ascii="Arial" w:hAnsi="Arial"/>
      <w:b/>
      <w:color w:val="CF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116AE"/>
    <w:rPr>
      <w:rFonts w:ascii="Cambria" w:hAnsi="Cambria" w:cs="Times New Roman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semiHidden/>
    <w:locked/>
    <w:rsid w:val="009116AE"/>
    <w:rPr>
      <w:rFonts w:ascii="Cambria" w:hAnsi="Cambria" w:cs="Times New Roman"/>
      <w:b/>
      <w:bCs/>
      <w:i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semiHidden/>
    <w:locked/>
    <w:rsid w:val="009116AE"/>
    <w:rPr>
      <w:rFonts w:ascii="Cambria" w:hAnsi="Cambria" w:cs="Times New Roman"/>
      <w:b/>
      <w:bCs/>
      <w:sz w:val="26"/>
      <w:szCs w:val="26"/>
      <w:lang w:val="de-AT" w:eastAsia="de-AT"/>
    </w:rPr>
  </w:style>
  <w:style w:type="paragraph" w:styleId="Header">
    <w:name w:val="header"/>
    <w:basedOn w:val="Normal"/>
    <w:link w:val="HeaderChar"/>
    <w:rsid w:val="00A70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Footer">
    <w:name w:val="footer"/>
    <w:basedOn w:val="Normal"/>
    <w:link w:val="FooterChar"/>
    <w:rsid w:val="00A709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odyText">
    <w:name w:val="Body Text"/>
    <w:basedOn w:val="Normal"/>
    <w:link w:val="BodyTextChar"/>
    <w:rsid w:val="00A7091B"/>
    <w:pPr>
      <w:jc w:val="both"/>
    </w:pPr>
    <w:rPr>
      <w:rFonts w:ascii="Arial" w:hAnsi="Arial"/>
      <w:color w:val="808080"/>
      <w:sz w:val="17"/>
    </w:rPr>
  </w:style>
  <w:style w:type="character" w:customStyle="1" w:styleId="BodyTextChar">
    <w:name w:val="Body Text Char"/>
    <w:basedOn w:val="DefaultParagraphFont"/>
    <w:link w:val="BodyText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semiHidden/>
    <w:rsid w:val="00A70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116AE"/>
    <w:rPr>
      <w:rFonts w:cs="Times New Roman"/>
      <w:sz w:val="2"/>
      <w:lang w:val="de-AT" w:eastAsia="de-AT"/>
    </w:rPr>
  </w:style>
  <w:style w:type="character" w:styleId="Hyperlink">
    <w:name w:val="Hyperlink"/>
    <w:basedOn w:val="DefaultParagraphFont"/>
    <w:rsid w:val="00A7091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709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116AE"/>
    <w:rPr>
      <w:rFonts w:cs="Times New Roman"/>
      <w:sz w:val="20"/>
      <w:szCs w:val="20"/>
      <w:lang w:val="de-AT" w:eastAsia="de-AT"/>
    </w:rPr>
  </w:style>
  <w:style w:type="character" w:styleId="FootnoteReference">
    <w:name w:val="footnote reference"/>
    <w:basedOn w:val="DefaultParagraphFont"/>
    <w:semiHidden/>
    <w:rsid w:val="00A7091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rsid w:val="00A7091B"/>
    <w:pPr>
      <w:spacing w:line="220" w:lineRule="atLeast"/>
      <w:ind w:right="-207"/>
      <w:jc w:val="both"/>
    </w:pPr>
    <w:rPr>
      <w:rFonts w:ascii="Arial" w:hAnsi="Arial"/>
      <w:color w:val="333333"/>
      <w:sz w:val="18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116AE"/>
    <w:rPr>
      <w:rFonts w:cs="Times New Roman"/>
      <w:sz w:val="24"/>
      <w:szCs w:val="24"/>
      <w:lang w:val="de-AT" w:eastAsia="de-AT"/>
    </w:rPr>
  </w:style>
  <w:style w:type="character" w:styleId="FollowedHyperlink">
    <w:name w:val="FollowedHyperlink"/>
    <w:basedOn w:val="DefaultParagraphFont"/>
    <w:rsid w:val="00C9415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2609A"/>
    <w:pPr>
      <w:ind w:left="720"/>
      <w:contextualSpacing/>
    </w:pPr>
  </w:style>
  <w:style w:type="character" w:styleId="CommentReference">
    <w:name w:val="annotation reference"/>
    <w:basedOn w:val="DefaultParagraphFont"/>
    <w:rsid w:val="006C63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6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63CF"/>
    <w:rPr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rsid w:val="006C6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63CF"/>
    <w:rPr>
      <w:b/>
      <w:bCs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91B"/>
    <w:rPr>
      <w:sz w:val="24"/>
      <w:szCs w:val="24"/>
      <w:lang w:val="de-AT" w:eastAsia="de-AT"/>
    </w:rPr>
  </w:style>
  <w:style w:type="paragraph" w:styleId="Heading1">
    <w:name w:val="heading 1"/>
    <w:basedOn w:val="Normal"/>
    <w:next w:val="Normal"/>
    <w:link w:val="Heading1Char"/>
    <w:qFormat/>
    <w:rsid w:val="00A7091B"/>
    <w:pPr>
      <w:keepNext/>
      <w:spacing w:after="60" w:line="220" w:lineRule="atLeast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7091B"/>
    <w:pPr>
      <w:keepNext/>
      <w:spacing w:line="220" w:lineRule="atLeast"/>
      <w:jc w:val="both"/>
      <w:outlineLvl w:val="1"/>
    </w:pPr>
    <w:rPr>
      <w:rFonts w:ascii="Arial" w:hAnsi="Arial"/>
      <w:b/>
      <w:color w:val="CF0000"/>
      <w:sz w:val="20"/>
    </w:rPr>
  </w:style>
  <w:style w:type="paragraph" w:styleId="Heading3">
    <w:name w:val="heading 3"/>
    <w:basedOn w:val="Normal"/>
    <w:next w:val="Normal"/>
    <w:link w:val="Heading3Char"/>
    <w:qFormat/>
    <w:rsid w:val="00A7091B"/>
    <w:pPr>
      <w:keepNext/>
      <w:jc w:val="center"/>
      <w:outlineLvl w:val="2"/>
    </w:pPr>
    <w:rPr>
      <w:rFonts w:ascii="Arial" w:hAnsi="Arial"/>
      <w:b/>
      <w:color w:val="CF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116AE"/>
    <w:rPr>
      <w:rFonts w:ascii="Cambria" w:hAnsi="Cambria" w:cs="Times New Roman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semiHidden/>
    <w:locked/>
    <w:rsid w:val="009116AE"/>
    <w:rPr>
      <w:rFonts w:ascii="Cambria" w:hAnsi="Cambria" w:cs="Times New Roman"/>
      <w:b/>
      <w:bCs/>
      <w:i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semiHidden/>
    <w:locked/>
    <w:rsid w:val="009116AE"/>
    <w:rPr>
      <w:rFonts w:ascii="Cambria" w:hAnsi="Cambria" w:cs="Times New Roman"/>
      <w:b/>
      <w:bCs/>
      <w:sz w:val="26"/>
      <w:szCs w:val="26"/>
      <w:lang w:val="de-AT" w:eastAsia="de-AT"/>
    </w:rPr>
  </w:style>
  <w:style w:type="paragraph" w:styleId="Header">
    <w:name w:val="header"/>
    <w:basedOn w:val="Normal"/>
    <w:link w:val="HeaderChar"/>
    <w:rsid w:val="00A70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Footer">
    <w:name w:val="footer"/>
    <w:basedOn w:val="Normal"/>
    <w:link w:val="FooterChar"/>
    <w:rsid w:val="00A709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odyText">
    <w:name w:val="Body Text"/>
    <w:basedOn w:val="Normal"/>
    <w:link w:val="BodyTextChar"/>
    <w:rsid w:val="00A7091B"/>
    <w:pPr>
      <w:jc w:val="both"/>
    </w:pPr>
    <w:rPr>
      <w:rFonts w:ascii="Arial" w:hAnsi="Arial"/>
      <w:color w:val="808080"/>
      <w:sz w:val="17"/>
    </w:rPr>
  </w:style>
  <w:style w:type="character" w:customStyle="1" w:styleId="BodyTextChar">
    <w:name w:val="Body Text Char"/>
    <w:basedOn w:val="DefaultParagraphFont"/>
    <w:link w:val="BodyText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semiHidden/>
    <w:rsid w:val="00A70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116AE"/>
    <w:rPr>
      <w:rFonts w:cs="Times New Roman"/>
      <w:sz w:val="2"/>
      <w:lang w:val="de-AT" w:eastAsia="de-AT"/>
    </w:rPr>
  </w:style>
  <w:style w:type="character" w:styleId="Hyperlink">
    <w:name w:val="Hyperlink"/>
    <w:basedOn w:val="DefaultParagraphFont"/>
    <w:rsid w:val="00A7091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709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116AE"/>
    <w:rPr>
      <w:rFonts w:cs="Times New Roman"/>
      <w:sz w:val="20"/>
      <w:szCs w:val="20"/>
      <w:lang w:val="de-AT" w:eastAsia="de-AT"/>
    </w:rPr>
  </w:style>
  <w:style w:type="character" w:styleId="FootnoteReference">
    <w:name w:val="footnote reference"/>
    <w:basedOn w:val="DefaultParagraphFont"/>
    <w:semiHidden/>
    <w:rsid w:val="00A7091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rsid w:val="00A7091B"/>
    <w:pPr>
      <w:spacing w:line="220" w:lineRule="atLeast"/>
      <w:ind w:right="-207"/>
      <w:jc w:val="both"/>
    </w:pPr>
    <w:rPr>
      <w:rFonts w:ascii="Arial" w:hAnsi="Arial"/>
      <w:color w:val="333333"/>
      <w:sz w:val="18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116AE"/>
    <w:rPr>
      <w:rFonts w:cs="Times New Roman"/>
      <w:sz w:val="24"/>
      <w:szCs w:val="24"/>
      <w:lang w:val="de-AT" w:eastAsia="de-AT"/>
    </w:rPr>
  </w:style>
  <w:style w:type="character" w:styleId="FollowedHyperlink">
    <w:name w:val="FollowedHyperlink"/>
    <w:basedOn w:val="DefaultParagraphFont"/>
    <w:rsid w:val="00C9415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2609A"/>
    <w:pPr>
      <w:ind w:left="720"/>
      <w:contextualSpacing/>
    </w:pPr>
  </w:style>
  <w:style w:type="character" w:styleId="CommentReference">
    <w:name w:val="annotation reference"/>
    <w:basedOn w:val="DefaultParagraphFont"/>
    <w:rsid w:val="006C63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6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63CF"/>
    <w:rPr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rsid w:val="006C6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63CF"/>
    <w:rPr>
      <w:b/>
      <w:bCs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tnerh\AppData\Roaming\Microsoft\Templates\PR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Arial" pitchFamily="34" charset="0"/>
                <a:cs typeface="Arial" pitchFamily="34" charset="0"/>
              </a:defRPr>
            </a:pPr>
            <a:r>
              <a:rPr lang="sl-SI" sz="1000">
                <a:latin typeface="Arial" pitchFamily="34" charset="0"/>
                <a:cs typeface="Arial" pitchFamily="34" charset="0"/>
              </a:rPr>
              <a:t>Delež tujih</a:t>
            </a:r>
            <a:r>
              <a:rPr lang="sl-SI" sz="1000" baseline="0">
                <a:latin typeface="Arial" pitchFamily="34" charset="0"/>
                <a:cs typeface="Arial" pitchFamily="34" charset="0"/>
              </a:rPr>
              <a:t> vlagateljev v tržni kapitalizaciji delnic Ljubljanske borze od 31.1.2012 do 31.1.2013</a:t>
            </a:r>
            <a:endParaRPr lang="sl-SI" sz="1000">
              <a:latin typeface="Arial" pitchFamily="34" charset="0"/>
              <a:cs typeface="Arial" pitchFamily="34" charset="0"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125579615048119"/>
          <c:y val="0.19907407407407407"/>
          <c:w val="0.82319160104986888"/>
          <c:h val="0.6026961213181685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tujcev</c:v>
                </c:pt>
              </c:strCache>
            </c:strRef>
          </c:tx>
          <c:spPr>
            <a:ln>
              <a:solidFill>
                <a:srgbClr val="D10005"/>
              </a:solidFill>
            </a:ln>
          </c:spPr>
          <c:marker>
            <c:symbol val="none"/>
          </c:marker>
          <c:cat>
            <c:numRef>
              <c:f>Sheet1!$A$2:$A$14</c:f>
              <c:numCache>
                <c:formatCode>m/d/yyyy</c:formatCode>
                <c:ptCount val="13"/>
                <c:pt idx="0">
                  <c:v>40939</c:v>
                </c:pt>
                <c:pt idx="1">
                  <c:v>40968</c:v>
                </c:pt>
                <c:pt idx="2">
                  <c:v>40999</c:v>
                </c:pt>
                <c:pt idx="3">
                  <c:v>41029</c:v>
                </c:pt>
                <c:pt idx="4">
                  <c:v>41060</c:v>
                </c:pt>
                <c:pt idx="5">
                  <c:v>41090</c:v>
                </c:pt>
                <c:pt idx="6">
                  <c:v>41121</c:v>
                </c:pt>
                <c:pt idx="7">
                  <c:v>41152</c:v>
                </c:pt>
                <c:pt idx="8">
                  <c:v>41182</c:v>
                </c:pt>
                <c:pt idx="9">
                  <c:v>41213</c:v>
                </c:pt>
                <c:pt idx="10">
                  <c:v>41243</c:v>
                </c:pt>
                <c:pt idx="11">
                  <c:v>41274</c:v>
                </c:pt>
                <c:pt idx="12">
                  <c:v>41305</c:v>
                </c:pt>
              </c:numCache>
            </c:numRef>
          </c:cat>
          <c:val>
            <c:numRef>
              <c:f>Sheet1!$B$2:$B$14</c:f>
              <c:numCache>
                <c:formatCode>0.00%</c:formatCode>
                <c:ptCount val="13"/>
                <c:pt idx="0">
                  <c:v>0.12560000000000002</c:v>
                </c:pt>
                <c:pt idx="1">
                  <c:v>0.1249</c:v>
                </c:pt>
                <c:pt idx="2">
                  <c:v>0.13089999999999999</c:v>
                </c:pt>
                <c:pt idx="3">
                  <c:v>0.1295</c:v>
                </c:pt>
                <c:pt idx="4">
                  <c:v>0.1234</c:v>
                </c:pt>
                <c:pt idx="5">
                  <c:v>0.12709999999999999</c:v>
                </c:pt>
                <c:pt idx="6">
                  <c:v>0.1285</c:v>
                </c:pt>
                <c:pt idx="7">
                  <c:v>0.12920000000000001</c:v>
                </c:pt>
                <c:pt idx="8">
                  <c:v>0.12670000000000001</c:v>
                </c:pt>
                <c:pt idx="9">
                  <c:v>0.1313</c:v>
                </c:pt>
                <c:pt idx="10">
                  <c:v>0.13390000000000002</c:v>
                </c:pt>
                <c:pt idx="11">
                  <c:v>0.13590802715113379</c:v>
                </c:pt>
                <c:pt idx="12">
                  <c:v>0.1419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455040"/>
        <c:axId val="109843200"/>
      </c:lineChart>
      <c:dateAx>
        <c:axId val="2645504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9843200"/>
        <c:crosses val="autoZero"/>
        <c:auto val="1"/>
        <c:lblOffset val="100"/>
        <c:baseTimeUnit val="months"/>
      </c:dateAx>
      <c:valAx>
        <c:axId val="10984320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26455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574956255468067"/>
          <c:y val="0.62480788859725878"/>
          <c:w val="0.17813932633420823"/>
          <c:h val="8.371719160104987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FB41-2DC1-4365-9E41-3B911897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PR.dotx</Template>
  <TotalTime>1</TotalTime>
  <Pages>2</Pages>
  <Words>577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Ljubljanska borza d.d.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Metka Šipek</dc:creator>
  <cp:lastModifiedBy>Hermina Pantner</cp:lastModifiedBy>
  <cp:revision>2</cp:revision>
  <cp:lastPrinted>2013-02-15T09:56:00Z</cp:lastPrinted>
  <dcterms:created xsi:type="dcterms:W3CDTF">2013-02-25T13:44:00Z</dcterms:created>
  <dcterms:modified xsi:type="dcterms:W3CDTF">2013-02-25T13:44:00Z</dcterms:modified>
</cp:coreProperties>
</file>