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57E" w:rsidRPr="00F063DE" w:rsidRDefault="00C3757E" w:rsidP="00F74223">
      <w:pPr>
        <w:spacing w:line="280" w:lineRule="atLeast"/>
        <w:ind w:right="561"/>
        <w:rPr>
          <w:rFonts w:ascii="Arial" w:hAnsi="Arial" w:cs="Arial"/>
          <w:sz w:val="20"/>
          <w:szCs w:val="20"/>
          <w:lang w:val="en-GB"/>
        </w:rPr>
      </w:pPr>
      <w:r w:rsidRPr="00F063DE">
        <w:rPr>
          <w:rFonts w:ascii="Arial" w:hAnsi="Arial" w:cs="Arial"/>
          <w:sz w:val="20"/>
          <w:szCs w:val="20"/>
          <w:lang w:val="en-GB"/>
        </w:rPr>
        <w:t xml:space="preserve">Ljubljana, </w:t>
      </w:r>
      <w:r w:rsidR="00477668">
        <w:rPr>
          <w:rFonts w:ascii="Arial" w:hAnsi="Arial" w:cs="Arial"/>
          <w:sz w:val="20"/>
          <w:szCs w:val="20"/>
          <w:lang w:val="en-GB"/>
        </w:rPr>
        <w:t xml:space="preserve">25 </w:t>
      </w:r>
      <w:r w:rsidR="00F063DE" w:rsidRPr="00F063DE">
        <w:rPr>
          <w:rFonts w:ascii="Arial" w:hAnsi="Arial" w:cs="Arial"/>
          <w:sz w:val="20"/>
          <w:szCs w:val="20"/>
          <w:lang w:val="en-GB"/>
        </w:rPr>
        <w:t>February</w:t>
      </w:r>
      <w:r w:rsidR="00F60338" w:rsidRPr="00F063DE">
        <w:rPr>
          <w:rFonts w:ascii="Arial" w:hAnsi="Arial" w:cs="Arial"/>
          <w:sz w:val="20"/>
          <w:szCs w:val="20"/>
          <w:lang w:val="en-GB"/>
        </w:rPr>
        <w:t xml:space="preserve"> 2013</w:t>
      </w:r>
    </w:p>
    <w:p w:rsidR="00C3757E" w:rsidRPr="00F063DE" w:rsidRDefault="00C3757E" w:rsidP="00F74223">
      <w:pPr>
        <w:tabs>
          <w:tab w:val="left" w:pos="1620"/>
        </w:tabs>
        <w:spacing w:line="280" w:lineRule="atLeast"/>
        <w:ind w:right="561"/>
        <w:rPr>
          <w:rFonts w:ascii="Arial" w:hAnsi="Arial" w:cs="Arial"/>
          <w:sz w:val="20"/>
          <w:szCs w:val="20"/>
          <w:lang w:val="en-GB"/>
        </w:rPr>
      </w:pPr>
    </w:p>
    <w:p w:rsidR="00845A03" w:rsidRDefault="009F4488" w:rsidP="00C83639">
      <w:pPr>
        <w:spacing w:line="280" w:lineRule="atLeast"/>
        <w:ind w:right="561"/>
        <w:rPr>
          <w:rFonts w:ascii="Arial" w:hAnsi="Arial"/>
          <w:color w:val="000000"/>
          <w:sz w:val="20"/>
          <w:lang w:val="en-GB"/>
        </w:rPr>
      </w:pPr>
      <w:r>
        <w:rPr>
          <w:rFonts w:ascii="Arial" w:hAnsi="Arial"/>
          <w:b/>
          <w:color w:val="000000"/>
          <w:sz w:val="20"/>
          <w:lang w:val="en-GB"/>
        </w:rPr>
        <w:t>Positive Trends on the Slovene Capital Market</w:t>
      </w:r>
      <w:r w:rsidR="00F60338" w:rsidRPr="00F063DE">
        <w:rPr>
          <w:rFonts w:ascii="Arial" w:hAnsi="Arial"/>
          <w:b/>
          <w:color w:val="000000"/>
          <w:sz w:val="20"/>
          <w:lang w:val="en-GB"/>
        </w:rPr>
        <w:t xml:space="preserve">: </w:t>
      </w:r>
      <w:r w:rsidR="00C83639" w:rsidRPr="00C83639">
        <w:rPr>
          <w:rFonts w:ascii="Arial" w:hAnsi="Arial"/>
          <w:b/>
          <w:color w:val="000000"/>
          <w:sz w:val="20"/>
          <w:lang w:val="en-GB"/>
        </w:rPr>
        <w:t xml:space="preserve">Slovene </w:t>
      </w:r>
      <w:r w:rsidR="008467BA">
        <w:rPr>
          <w:rFonts w:ascii="Arial" w:hAnsi="Arial"/>
          <w:b/>
          <w:color w:val="000000"/>
          <w:sz w:val="20"/>
          <w:lang w:val="en-GB"/>
        </w:rPr>
        <w:t>Equities</w:t>
      </w:r>
      <w:r w:rsidR="00C83639" w:rsidRPr="00C83639">
        <w:rPr>
          <w:rFonts w:ascii="Arial" w:hAnsi="Arial"/>
          <w:b/>
          <w:color w:val="000000"/>
          <w:sz w:val="20"/>
          <w:lang w:val="en-GB"/>
        </w:rPr>
        <w:t xml:space="preserve"> </w:t>
      </w:r>
      <w:r w:rsidR="008467BA">
        <w:rPr>
          <w:rFonts w:ascii="Arial" w:hAnsi="Arial"/>
          <w:b/>
          <w:color w:val="000000"/>
          <w:sz w:val="20"/>
          <w:lang w:val="en-GB"/>
        </w:rPr>
        <w:t>A</w:t>
      </w:r>
      <w:r w:rsidR="00C83639" w:rsidRPr="00C83639">
        <w:rPr>
          <w:rFonts w:ascii="Arial" w:hAnsi="Arial"/>
          <w:b/>
          <w:color w:val="000000"/>
          <w:sz w:val="20"/>
          <w:lang w:val="en-GB"/>
        </w:rPr>
        <w:t>ttractive to International Inve</w:t>
      </w:r>
      <w:r w:rsidR="00C83639" w:rsidRPr="00C83639">
        <w:rPr>
          <w:rFonts w:ascii="Arial" w:hAnsi="Arial"/>
          <w:b/>
          <w:color w:val="000000"/>
          <w:sz w:val="20"/>
          <w:lang w:val="en-GB"/>
        </w:rPr>
        <w:t>s</w:t>
      </w:r>
      <w:r w:rsidR="00C83639" w:rsidRPr="00C83639">
        <w:rPr>
          <w:rFonts w:ascii="Arial" w:hAnsi="Arial"/>
          <w:b/>
          <w:color w:val="000000"/>
          <w:sz w:val="20"/>
          <w:lang w:val="en-GB"/>
        </w:rPr>
        <w:t>tors</w:t>
      </w:r>
    </w:p>
    <w:p w:rsidR="00845A03" w:rsidRDefault="00845A03" w:rsidP="003F7B8F">
      <w:pPr>
        <w:spacing w:line="280" w:lineRule="atLeast"/>
        <w:ind w:right="-2"/>
        <w:rPr>
          <w:rFonts w:ascii="Arial" w:hAnsi="Arial"/>
          <w:color w:val="000000"/>
          <w:sz w:val="20"/>
          <w:lang w:val="en-GB"/>
        </w:rPr>
      </w:pPr>
    </w:p>
    <w:p w:rsidR="00E733F8" w:rsidRDefault="008467BA" w:rsidP="003F7B8F">
      <w:pPr>
        <w:spacing w:line="280" w:lineRule="atLeast"/>
        <w:ind w:right="-2"/>
        <w:rPr>
          <w:rFonts w:ascii="Arial" w:hAnsi="Arial"/>
          <w:color w:val="000000"/>
          <w:sz w:val="20"/>
          <w:lang w:val="en-GB"/>
        </w:rPr>
      </w:pPr>
      <w:bookmarkStart w:id="0" w:name="_GoBack"/>
      <w:r>
        <w:rPr>
          <w:rFonts w:ascii="Arial" w:hAnsi="Arial"/>
          <w:color w:val="000000"/>
          <w:sz w:val="20"/>
          <w:lang w:val="en-GB"/>
        </w:rPr>
        <w:t>Equities</w:t>
      </w:r>
      <w:r w:rsidR="00E733F8">
        <w:rPr>
          <w:rFonts w:ascii="Arial" w:hAnsi="Arial"/>
          <w:color w:val="000000"/>
          <w:sz w:val="20"/>
          <w:lang w:val="en-GB"/>
        </w:rPr>
        <w:t xml:space="preserve"> of Slovene companies are becoming more and more attractive to international investors</w:t>
      </w:r>
      <w:r w:rsidR="00CE2BA2">
        <w:rPr>
          <w:rFonts w:ascii="Arial" w:hAnsi="Arial"/>
          <w:color w:val="000000"/>
          <w:sz w:val="20"/>
          <w:lang w:val="en-GB"/>
        </w:rPr>
        <w:t>,</w:t>
      </w:r>
      <w:r w:rsidR="00E733F8">
        <w:rPr>
          <w:rFonts w:ascii="Arial" w:hAnsi="Arial"/>
          <w:color w:val="000000"/>
          <w:sz w:val="20"/>
          <w:lang w:val="en-GB"/>
        </w:rPr>
        <w:t xml:space="preserve"> who reached a 67% share in the total Prime Market equity turnover on the buy side. Year 2012 was </w:t>
      </w:r>
      <w:r w:rsidR="00260FA5">
        <w:rPr>
          <w:rFonts w:ascii="Arial" w:hAnsi="Arial"/>
          <w:color w:val="000000"/>
          <w:sz w:val="20"/>
          <w:lang w:val="en-GB"/>
        </w:rPr>
        <w:t xml:space="preserve">also </w:t>
      </w:r>
      <w:r w:rsidR="00E733F8">
        <w:rPr>
          <w:rFonts w:ascii="Arial" w:hAnsi="Arial"/>
          <w:color w:val="000000"/>
          <w:sz w:val="20"/>
          <w:lang w:val="en-GB"/>
        </w:rPr>
        <w:t>marked by positive development in other areas:</w:t>
      </w:r>
    </w:p>
    <w:p w:rsidR="00260FA5" w:rsidRPr="00D24878" w:rsidRDefault="00260FA5" w:rsidP="00260FA5">
      <w:pPr>
        <w:pStyle w:val="ListParagraph"/>
        <w:numPr>
          <w:ilvl w:val="0"/>
          <w:numId w:val="14"/>
        </w:numPr>
        <w:spacing w:line="280" w:lineRule="atLeast"/>
        <w:ind w:right="-2"/>
        <w:rPr>
          <w:rFonts w:ascii="Arial" w:hAnsi="Arial"/>
          <w:color w:val="000000"/>
          <w:sz w:val="20"/>
          <w:lang w:val="en-GB"/>
        </w:rPr>
      </w:pPr>
      <w:r>
        <w:rPr>
          <w:rFonts w:ascii="Arial" w:hAnsi="Arial" w:cs="Arial"/>
          <w:sz w:val="20"/>
          <w:szCs w:val="20"/>
          <w:lang w:val="en-GB"/>
        </w:rPr>
        <w:t>According to the most current data from LJSE and Central Securities Corporation</w:t>
      </w:r>
      <w:r w:rsidR="0097018A">
        <w:rPr>
          <w:rFonts w:ascii="Arial" w:hAnsi="Arial" w:cs="Arial"/>
          <w:sz w:val="20"/>
          <w:szCs w:val="20"/>
          <w:lang w:val="en-GB"/>
        </w:rPr>
        <w:t>,</w:t>
      </w:r>
      <w:r>
        <w:rPr>
          <w:rFonts w:ascii="Arial" w:hAnsi="Arial" w:cs="Arial"/>
          <w:sz w:val="20"/>
          <w:szCs w:val="20"/>
          <w:lang w:val="en-GB"/>
        </w:rPr>
        <w:t xml:space="preserve"> </w:t>
      </w:r>
      <w:r w:rsidR="00D24878">
        <w:rPr>
          <w:rFonts w:ascii="Arial" w:hAnsi="Arial" w:cs="Arial"/>
          <w:sz w:val="20"/>
          <w:szCs w:val="20"/>
          <w:lang w:val="en-GB"/>
        </w:rPr>
        <w:t xml:space="preserve">in 2012 </w:t>
      </w:r>
      <w:r w:rsidRPr="0007196A">
        <w:rPr>
          <w:rFonts w:ascii="Arial" w:hAnsi="Arial" w:cs="Arial"/>
          <w:b/>
          <w:sz w:val="20"/>
          <w:szCs w:val="20"/>
          <w:lang w:val="en-GB"/>
        </w:rPr>
        <w:t xml:space="preserve">international investors </w:t>
      </w:r>
      <w:r w:rsidR="0097018A" w:rsidRPr="0007196A">
        <w:rPr>
          <w:rFonts w:ascii="Arial" w:hAnsi="Arial" w:cs="Arial"/>
          <w:b/>
          <w:sz w:val="20"/>
          <w:szCs w:val="20"/>
          <w:lang w:val="en-GB"/>
        </w:rPr>
        <w:t>reached the highest share in the total Prime Market equity turnover so far</w:t>
      </w:r>
      <w:r w:rsidR="0097018A">
        <w:rPr>
          <w:rFonts w:ascii="Arial" w:hAnsi="Arial" w:cs="Arial"/>
          <w:sz w:val="20"/>
          <w:szCs w:val="20"/>
          <w:lang w:val="en-GB"/>
        </w:rPr>
        <w:t xml:space="preserve">. Their share, which till 2010 had never exceeded 30%, reached almost 50% of total Prime Market equity turnover in 2011 and 2012; on buy-side the share was even higher, reaching 67%.   </w:t>
      </w:r>
    </w:p>
    <w:p w:rsidR="00D24878" w:rsidRPr="00D24878" w:rsidRDefault="00D24878" w:rsidP="00260FA5">
      <w:pPr>
        <w:pStyle w:val="ListParagraph"/>
        <w:numPr>
          <w:ilvl w:val="0"/>
          <w:numId w:val="14"/>
        </w:numPr>
        <w:spacing w:line="280" w:lineRule="atLeast"/>
        <w:ind w:right="-2"/>
        <w:rPr>
          <w:rFonts w:ascii="Arial" w:hAnsi="Arial"/>
          <w:color w:val="000000"/>
          <w:sz w:val="20"/>
          <w:lang w:val="en-GB"/>
        </w:rPr>
      </w:pPr>
      <w:r w:rsidRPr="0007196A">
        <w:rPr>
          <w:rFonts w:ascii="Arial" w:hAnsi="Arial" w:cs="Arial"/>
          <w:b/>
          <w:sz w:val="20"/>
          <w:szCs w:val="20"/>
          <w:lang w:val="en-GB"/>
        </w:rPr>
        <w:t xml:space="preserve">A sizeable share of international investors’ turnover </w:t>
      </w:r>
      <w:r w:rsidR="00950642">
        <w:rPr>
          <w:rFonts w:ascii="Arial" w:hAnsi="Arial" w:cs="Arial"/>
          <w:b/>
          <w:sz w:val="20"/>
          <w:szCs w:val="20"/>
          <w:lang w:val="en-GB"/>
        </w:rPr>
        <w:t>was</w:t>
      </w:r>
      <w:r w:rsidRPr="0007196A">
        <w:rPr>
          <w:rFonts w:ascii="Arial" w:hAnsi="Arial" w:cs="Arial"/>
          <w:b/>
          <w:sz w:val="20"/>
          <w:szCs w:val="20"/>
          <w:lang w:val="en-GB"/>
        </w:rPr>
        <w:t xml:space="preserve"> realised through Slovene brokers</w:t>
      </w:r>
      <w:r>
        <w:rPr>
          <w:rFonts w:ascii="Arial" w:hAnsi="Arial" w:cs="Arial"/>
          <w:sz w:val="20"/>
          <w:szCs w:val="20"/>
          <w:lang w:val="en-GB"/>
        </w:rPr>
        <w:t xml:space="preserve">, </w:t>
      </w:r>
      <w:r w:rsidR="008E6037">
        <w:rPr>
          <w:rFonts w:ascii="Arial" w:hAnsi="Arial" w:cs="Arial"/>
          <w:sz w:val="20"/>
          <w:szCs w:val="20"/>
          <w:lang w:val="en-GB"/>
        </w:rPr>
        <w:t>who</w:t>
      </w:r>
      <w:r>
        <w:rPr>
          <w:rFonts w:ascii="Arial" w:hAnsi="Arial" w:cs="Arial"/>
          <w:sz w:val="20"/>
          <w:szCs w:val="20"/>
          <w:lang w:val="en-GB"/>
        </w:rPr>
        <w:t xml:space="preserve"> </w:t>
      </w:r>
      <w:r w:rsidR="00950642">
        <w:rPr>
          <w:rFonts w:ascii="Arial" w:hAnsi="Arial" w:cs="Arial"/>
          <w:sz w:val="20"/>
          <w:szCs w:val="20"/>
          <w:lang w:val="en-GB"/>
        </w:rPr>
        <w:t>had</w:t>
      </w:r>
      <w:r>
        <w:rPr>
          <w:rFonts w:ascii="Arial" w:hAnsi="Arial" w:cs="Arial"/>
          <w:sz w:val="20"/>
          <w:szCs w:val="20"/>
          <w:lang w:val="en-GB"/>
        </w:rPr>
        <w:t xml:space="preserve"> a 74% market share.</w:t>
      </w:r>
    </w:p>
    <w:p w:rsidR="00D24878" w:rsidRDefault="008A79DF" w:rsidP="00260FA5">
      <w:pPr>
        <w:pStyle w:val="ListParagraph"/>
        <w:numPr>
          <w:ilvl w:val="0"/>
          <w:numId w:val="14"/>
        </w:numPr>
        <w:spacing w:line="280" w:lineRule="atLeast"/>
        <w:ind w:right="-2"/>
        <w:rPr>
          <w:rFonts w:ascii="Arial" w:hAnsi="Arial"/>
          <w:color w:val="000000"/>
          <w:sz w:val="20"/>
          <w:lang w:val="en-GB"/>
        </w:rPr>
      </w:pPr>
      <w:r w:rsidRPr="0007196A">
        <w:rPr>
          <w:rFonts w:ascii="Arial" w:hAnsi="Arial"/>
          <w:b/>
          <w:color w:val="000000"/>
          <w:sz w:val="20"/>
          <w:lang w:val="en-GB"/>
        </w:rPr>
        <w:t xml:space="preserve">The share of remote members in the turnover is increasing </w:t>
      </w:r>
      <w:r w:rsidR="00B85A8C" w:rsidRPr="0007196A">
        <w:rPr>
          <w:rFonts w:ascii="Arial" w:hAnsi="Arial"/>
          <w:b/>
          <w:color w:val="000000"/>
          <w:sz w:val="20"/>
          <w:lang w:val="en-GB"/>
        </w:rPr>
        <w:t>noticeably</w:t>
      </w:r>
      <w:r>
        <w:rPr>
          <w:rFonts w:ascii="Arial" w:hAnsi="Arial"/>
          <w:color w:val="000000"/>
          <w:sz w:val="20"/>
          <w:lang w:val="en-GB"/>
        </w:rPr>
        <w:t>, jumping from a 0 to 16% share in the last two years.</w:t>
      </w:r>
    </w:p>
    <w:p w:rsidR="000A6333" w:rsidRDefault="000A6333" w:rsidP="003F7B8F">
      <w:pPr>
        <w:pStyle w:val="ListParagraph"/>
        <w:numPr>
          <w:ilvl w:val="0"/>
          <w:numId w:val="14"/>
        </w:numPr>
        <w:spacing w:line="280" w:lineRule="atLeast"/>
        <w:ind w:right="-2"/>
        <w:rPr>
          <w:rFonts w:ascii="Arial" w:hAnsi="Arial"/>
          <w:color w:val="000000"/>
          <w:sz w:val="20"/>
          <w:lang w:val="en-GB"/>
        </w:rPr>
      </w:pPr>
      <w:r w:rsidRPr="0007196A">
        <w:rPr>
          <w:rFonts w:ascii="Arial" w:hAnsi="Arial"/>
          <w:b/>
          <w:color w:val="000000"/>
          <w:sz w:val="20"/>
          <w:lang w:val="en-GB"/>
        </w:rPr>
        <w:t xml:space="preserve">Among financial intermediaries Alta Invest </w:t>
      </w:r>
      <w:r w:rsidR="00950642">
        <w:rPr>
          <w:rFonts w:ascii="Arial" w:hAnsi="Arial"/>
          <w:b/>
          <w:color w:val="000000"/>
          <w:sz w:val="20"/>
          <w:lang w:val="en-GB"/>
        </w:rPr>
        <w:t>led</w:t>
      </w:r>
      <w:r w:rsidRPr="0007196A">
        <w:rPr>
          <w:rFonts w:ascii="Arial" w:hAnsi="Arial"/>
          <w:b/>
          <w:color w:val="000000"/>
          <w:sz w:val="20"/>
          <w:lang w:val="en-GB"/>
        </w:rPr>
        <w:t xml:space="preserve"> with </w:t>
      </w:r>
      <w:r w:rsidR="0068581B" w:rsidRPr="0007196A">
        <w:rPr>
          <w:rFonts w:ascii="Arial" w:hAnsi="Arial"/>
          <w:b/>
          <w:color w:val="000000"/>
          <w:sz w:val="20"/>
          <w:lang w:val="en-GB"/>
        </w:rPr>
        <w:t xml:space="preserve">a </w:t>
      </w:r>
      <w:r w:rsidRPr="0007196A">
        <w:rPr>
          <w:rFonts w:ascii="Arial" w:hAnsi="Arial"/>
          <w:b/>
          <w:color w:val="000000"/>
          <w:sz w:val="20"/>
          <w:lang w:val="en-GB"/>
        </w:rPr>
        <w:t>22% share in the total turnover</w:t>
      </w:r>
      <w:r>
        <w:rPr>
          <w:rFonts w:ascii="Arial" w:hAnsi="Arial"/>
          <w:color w:val="000000"/>
          <w:sz w:val="20"/>
          <w:lang w:val="en-GB"/>
        </w:rPr>
        <w:t xml:space="preserve"> in 2012.</w:t>
      </w:r>
    </w:p>
    <w:p w:rsidR="00477668" w:rsidRPr="00477668" w:rsidRDefault="00477668" w:rsidP="00477668">
      <w:pPr>
        <w:pStyle w:val="ListParagraph"/>
        <w:numPr>
          <w:ilvl w:val="0"/>
          <w:numId w:val="14"/>
        </w:numPr>
        <w:spacing w:line="280" w:lineRule="atLeast"/>
        <w:ind w:right="-2"/>
        <w:rPr>
          <w:rFonts w:ascii="Arial" w:hAnsi="Arial"/>
          <w:color w:val="000000"/>
          <w:sz w:val="20"/>
          <w:lang w:val="en-GB"/>
        </w:rPr>
      </w:pPr>
      <w:r>
        <w:rPr>
          <w:rFonts w:ascii="Arial" w:hAnsi="Arial" w:cs="Arial"/>
          <w:sz w:val="20"/>
          <w:szCs w:val="20"/>
          <w:lang w:val="en-GB"/>
        </w:rPr>
        <w:t>After two years of negative yield t</w:t>
      </w:r>
      <w:r w:rsidRPr="00006DE8">
        <w:rPr>
          <w:rFonts w:ascii="Arial" w:hAnsi="Arial" w:cs="Arial"/>
          <w:sz w:val="20"/>
          <w:szCs w:val="20"/>
          <w:lang w:val="en-GB"/>
        </w:rPr>
        <w:t xml:space="preserve">he </w:t>
      </w:r>
      <w:r w:rsidRPr="0007196A">
        <w:rPr>
          <w:rFonts w:ascii="Arial" w:hAnsi="Arial" w:cs="Arial"/>
          <w:b/>
          <w:sz w:val="20"/>
          <w:szCs w:val="20"/>
          <w:lang w:val="en-GB"/>
        </w:rPr>
        <w:t>LJSE blue chip index SBI TOP was up 7.8%</w:t>
      </w:r>
      <w:r w:rsidRPr="00006DE8">
        <w:rPr>
          <w:rFonts w:ascii="Arial" w:hAnsi="Arial" w:cs="Arial"/>
          <w:sz w:val="20"/>
          <w:szCs w:val="20"/>
          <w:lang w:val="en-GB"/>
        </w:rPr>
        <w:t xml:space="preserve"> in 201</w:t>
      </w:r>
      <w:r>
        <w:rPr>
          <w:rFonts w:ascii="Arial" w:hAnsi="Arial" w:cs="Arial"/>
          <w:sz w:val="20"/>
          <w:szCs w:val="20"/>
          <w:lang w:val="en-GB"/>
        </w:rPr>
        <w:t>2.</w:t>
      </w:r>
    </w:p>
    <w:p w:rsidR="00845A03" w:rsidRDefault="000A6333" w:rsidP="003F7B8F">
      <w:pPr>
        <w:pStyle w:val="ListParagraph"/>
        <w:numPr>
          <w:ilvl w:val="0"/>
          <w:numId w:val="14"/>
        </w:numPr>
        <w:spacing w:line="280" w:lineRule="atLeast"/>
        <w:ind w:right="-2"/>
        <w:rPr>
          <w:rFonts w:ascii="Arial" w:hAnsi="Arial"/>
          <w:color w:val="000000"/>
          <w:sz w:val="20"/>
          <w:lang w:val="en-GB"/>
        </w:rPr>
      </w:pPr>
      <w:r w:rsidRPr="0007196A">
        <w:rPr>
          <w:rFonts w:ascii="Arial" w:hAnsi="Arial"/>
          <w:b/>
          <w:color w:val="000000"/>
          <w:sz w:val="20"/>
          <w:lang w:val="en-GB"/>
        </w:rPr>
        <w:t xml:space="preserve">The most traded </w:t>
      </w:r>
      <w:r w:rsidR="008467BA" w:rsidRPr="0007196A">
        <w:rPr>
          <w:rFonts w:ascii="Arial" w:hAnsi="Arial"/>
          <w:b/>
          <w:color w:val="000000"/>
          <w:sz w:val="20"/>
          <w:lang w:val="en-GB"/>
        </w:rPr>
        <w:t>equity</w:t>
      </w:r>
      <w:r w:rsidRPr="0007196A">
        <w:rPr>
          <w:rFonts w:ascii="Arial" w:hAnsi="Arial"/>
          <w:b/>
          <w:color w:val="000000"/>
          <w:sz w:val="20"/>
          <w:lang w:val="en-GB"/>
        </w:rPr>
        <w:t xml:space="preserve"> on LJSE in 2012 was pharmacist </w:t>
      </w:r>
      <w:proofErr w:type="spellStart"/>
      <w:r w:rsidRPr="0007196A">
        <w:rPr>
          <w:rFonts w:ascii="Arial" w:hAnsi="Arial"/>
          <w:b/>
          <w:color w:val="000000"/>
          <w:sz w:val="20"/>
          <w:lang w:val="en-GB"/>
        </w:rPr>
        <w:t>Krka</w:t>
      </w:r>
      <w:proofErr w:type="spellEnd"/>
      <w:r w:rsidRPr="0007196A">
        <w:rPr>
          <w:rFonts w:ascii="Arial" w:hAnsi="Arial"/>
          <w:b/>
          <w:color w:val="000000"/>
          <w:sz w:val="20"/>
          <w:lang w:val="en-GB"/>
        </w:rPr>
        <w:t xml:space="preserve"> (KRKG)</w:t>
      </w:r>
      <w:r w:rsidRPr="000A6333">
        <w:rPr>
          <w:rFonts w:ascii="Arial" w:hAnsi="Arial"/>
          <w:color w:val="000000"/>
          <w:sz w:val="20"/>
          <w:lang w:val="en-GB"/>
        </w:rPr>
        <w:t xml:space="preserve"> from the Prime Market, which generated 46.6% of all equity transactions.</w:t>
      </w:r>
      <w:r w:rsidR="00E733F8" w:rsidRPr="000A6333">
        <w:rPr>
          <w:rFonts w:ascii="Arial" w:hAnsi="Arial"/>
          <w:color w:val="000000"/>
          <w:sz w:val="20"/>
          <w:lang w:val="en-GB"/>
        </w:rPr>
        <w:t xml:space="preserve"> </w:t>
      </w:r>
    </w:p>
    <w:p w:rsidR="00CB487B" w:rsidRPr="005E28A2" w:rsidRDefault="00CB487B" w:rsidP="003F7B8F">
      <w:pPr>
        <w:pStyle w:val="ListParagraph"/>
        <w:numPr>
          <w:ilvl w:val="0"/>
          <w:numId w:val="14"/>
        </w:numPr>
        <w:spacing w:line="280" w:lineRule="atLeast"/>
        <w:ind w:right="-2"/>
        <w:rPr>
          <w:rFonts w:ascii="Arial" w:hAnsi="Arial"/>
          <w:color w:val="000000"/>
          <w:sz w:val="20"/>
          <w:lang w:val="en-GB"/>
        </w:rPr>
      </w:pPr>
      <w:r w:rsidRPr="00287142">
        <w:rPr>
          <w:rFonts w:ascii="Arial" w:hAnsi="Arial" w:cs="Arial"/>
          <w:sz w:val="20"/>
          <w:szCs w:val="20"/>
          <w:lang w:val="en-GB"/>
        </w:rPr>
        <w:t xml:space="preserve">In 2012 the Ljubljana Stock Exchange market offered a more varied range of investment opportunities </w:t>
      </w:r>
      <w:r>
        <w:rPr>
          <w:rFonts w:ascii="Arial" w:hAnsi="Arial" w:cs="Arial"/>
          <w:sz w:val="20"/>
          <w:szCs w:val="20"/>
          <w:lang w:val="en-GB"/>
        </w:rPr>
        <w:t>and possibilities of non-bank financing</w:t>
      </w:r>
      <w:r w:rsidRPr="00287142">
        <w:rPr>
          <w:rFonts w:ascii="Arial" w:hAnsi="Arial" w:cs="Arial"/>
          <w:sz w:val="20"/>
          <w:szCs w:val="20"/>
          <w:lang w:val="en-GB"/>
        </w:rPr>
        <w:t xml:space="preserve">, </w:t>
      </w:r>
      <w:r w:rsidR="00BE12ED">
        <w:rPr>
          <w:rFonts w:ascii="Arial" w:hAnsi="Arial" w:cs="Arial"/>
          <w:sz w:val="20"/>
          <w:szCs w:val="20"/>
          <w:lang w:val="en-GB"/>
        </w:rPr>
        <w:t>as</w:t>
      </w:r>
      <w:r w:rsidRPr="00287142">
        <w:rPr>
          <w:rFonts w:ascii="Arial" w:hAnsi="Arial" w:cs="Arial"/>
          <w:sz w:val="20"/>
          <w:szCs w:val="20"/>
          <w:lang w:val="en-GB"/>
        </w:rPr>
        <w:t xml:space="preserve"> </w:t>
      </w:r>
      <w:r w:rsidRPr="0007196A">
        <w:rPr>
          <w:rFonts w:ascii="Arial" w:hAnsi="Arial" w:cs="Arial"/>
          <w:b/>
          <w:sz w:val="20"/>
          <w:szCs w:val="20"/>
          <w:lang w:val="en-GB"/>
        </w:rPr>
        <w:t>commercial papers</w:t>
      </w:r>
      <w:r w:rsidR="00BE12ED" w:rsidRPr="0007196A">
        <w:rPr>
          <w:rFonts w:ascii="Arial" w:hAnsi="Arial" w:cs="Arial"/>
          <w:b/>
          <w:sz w:val="20"/>
          <w:szCs w:val="20"/>
          <w:lang w:val="en-GB"/>
        </w:rPr>
        <w:t xml:space="preserve"> were</w:t>
      </w:r>
      <w:r w:rsidRPr="0007196A">
        <w:rPr>
          <w:rFonts w:ascii="Arial" w:hAnsi="Arial" w:cs="Arial"/>
          <w:b/>
          <w:sz w:val="20"/>
          <w:szCs w:val="20"/>
          <w:lang w:val="en-GB"/>
        </w:rPr>
        <w:t xml:space="preserve"> listed on the LJSE mar</w:t>
      </w:r>
      <w:r w:rsidR="005E28A2" w:rsidRPr="0007196A">
        <w:rPr>
          <w:rFonts w:ascii="Arial" w:hAnsi="Arial" w:cs="Arial"/>
          <w:b/>
          <w:sz w:val="20"/>
          <w:szCs w:val="20"/>
          <w:lang w:val="en-GB"/>
        </w:rPr>
        <w:t>ket</w:t>
      </w:r>
      <w:r w:rsidR="005E28A2">
        <w:rPr>
          <w:rFonts w:ascii="Arial" w:hAnsi="Arial" w:cs="Arial"/>
          <w:sz w:val="20"/>
          <w:szCs w:val="20"/>
          <w:lang w:val="en-GB"/>
        </w:rPr>
        <w:t xml:space="preserve"> </w:t>
      </w:r>
      <w:r w:rsidRPr="00287142">
        <w:rPr>
          <w:rFonts w:ascii="Arial" w:hAnsi="Arial" w:cs="Arial"/>
          <w:sz w:val="20"/>
          <w:szCs w:val="20"/>
          <w:lang w:val="en-GB"/>
        </w:rPr>
        <w:t>in the total</w:t>
      </w:r>
      <w:r>
        <w:rPr>
          <w:rFonts w:ascii="Arial" w:hAnsi="Arial" w:cs="Arial"/>
          <w:sz w:val="20"/>
          <w:szCs w:val="20"/>
          <w:lang w:val="en-GB"/>
        </w:rPr>
        <w:t xml:space="preserve"> amount of EUR 124.3 mil</w:t>
      </w:r>
      <w:r w:rsidR="005E28A2">
        <w:rPr>
          <w:rFonts w:ascii="Arial" w:hAnsi="Arial" w:cs="Arial"/>
          <w:sz w:val="20"/>
          <w:szCs w:val="20"/>
          <w:lang w:val="en-GB"/>
        </w:rPr>
        <w:t>lion</w:t>
      </w:r>
      <w:r w:rsidRPr="007954E7">
        <w:rPr>
          <w:rFonts w:ascii="Arial" w:hAnsi="Arial" w:cs="Arial"/>
          <w:sz w:val="20"/>
          <w:szCs w:val="20"/>
          <w:lang w:val="en-GB"/>
        </w:rPr>
        <w:t>.</w:t>
      </w:r>
    </w:p>
    <w:p w:rsidR="005E28A2" w:rsidRPr="000A6333" w:rsidRDefault="005E28A2" w:rsidP="00EE572E">
      <w:pPr>
        <w:pStyle w:val="ListParagraph"/>
        <w:spacing w:line="280" w:lineRule="atLeast"/>
        <w:ind w:left="357" w:right="-2"/>
        <w:rPr>
          <w:rFonts w:ascii="Arial" w:hAnsi="Arial"/>
          <w:color w:val="000000"/>
          <w:sz w:val="20"/>
          <w:lang w:val="en-GB"/>
        </w:rPr>
      </w:pPr>
    </w:p>
    <w:p w:rsidR="00950642" w:rsidRDefault="00CA7E10" w:rsidP="00950642">
      <w:pPr>
        <w:spacing w:line="280" w:lineRule="atLeast"/>
        <w:ind w:right="-2"/>
        <w:rPr>
          <w:rFonts w:ascii="Arial" w:hAnsi="Arial"/>
          <w:color w:val="000000"/>
          <w:sz w:val="20"/>
          <w:lang w:val="en-GB"/>
        </w:rPr>
      </w:pPr>
      <w:r w:rsidRPr="0007196A">
        <w:rPr>
          <w:rFonts w:ascii="Arial" w:hAnsi="Arial"/>
          <w:b/>
          <w:color w:val="000000"/>
          <w:sz w:val="20"/>
          <w:lang w:val="en-GB"/>
        </w:rPr>
        <w:t>Trends show that LJSE is becoming an international market, as ever more turnover is realised by inte</w:t>
      </w:r>
      <w:r w:rsidRPr="0007196A">
        <w:rPr>
          <w:rFonts w:ascii="Arial" w:hAnsi="Arial"/>
          <w:b/>
          <w:color w:val="000000"/>
          <w:sz w:val="20"/>
          <w:lang w:val="en-GB"/>
        </w:rPr>
        <w:t>r</w:t>
      </w:r>
      <w:r w:rsidRPr="0007196A">
        <w:rPr>
          <w:rFonts w:ascii="Arial" w:hAnsi="Arial"/>
          <w:b/>
          <w:color w:val="000000"/>
          <w:sz w:val="20"/>
          <w:lang w:val="en-GB"/>
        </w:rPr>
        <w:t>national investors.</w:t>
      </w:r>
      <w:r>
        <w:rPr>
          <w:rFonts w:ascii="Arial" w:hAnsi="Arial"/>
          <w:color w:val="000000"/>
          <w:sz w:val="20"/>
          <w:lang w:val="en-GB"/>
        </w:rPr>
        <w:t xml:space="preserve"> They had the biggest share in the equity turnover of the most prominent listed companies in the last three</w:t>
      </w:r>
      <w:r w:rsidR="00647E2F">
        <w:rPr>
          <w:rFonts w:ascii="Arial" w:hAnsi="Arial"/>
          <w:color w:val="000000"/>
          <w:sz w:val="20"/>
          <w:lang w:val="en-GB"/>
        </w:rPr>
        <w:t xml:space="preserve"> years, which amounted</w:t>
      </w:r>
      <w:r>
        <w:rPr>
          <w:rFonts w:ascii="Arial" w:hAnsi="Arial"/>
          <w:color w:val="000000"/>
          <w:sz w:val="20"/>
          <w:lang w:val="en-GB"/>
        </w:rPr>
        <w:t xml:space="preserve"> to almost 50% of </w:t>
      </w:r>
      <w:r w:rsidR="00E1067D">
        <w:rPr>
          <w:rFonts w:ascii="Arial" w:hAnsi="Arial"/>
          <w:color w:val="000000"/>
          <w:sz w:val="20"/>
          <w:lang w:val="en-GB"/>
        </w:rPr>
        <w:t>total</w:t>
      </w:r>
      <w:r>
        <w:rPr>
          <w:rFonts w:ascii="Arial" w:hAnsi="Arial"/>
          <w:color w:val="000000"/>
          <w:sz w:val="20"/>
          <w:lang w:val="en-GB"/>
        </w:rPr>
        <w:t xml:space="preserve"> </w:t>
      </w:r>
      <w:r w:rsidR="008467BA">
        <w:rPr>
          <w:rFonts w:ascii="Arial" w:hAnsi="Arial"/>
          <w:color w:val="000000"/>
          <w:sz w:val="20"/>
          <w:lang w:val="en-GB"/>
        </w:rPr>
        <w:t xml:space="preserve">Prime Market </w:t>
      </w:r>
      <w:r>
        <w:rPr>
          <w:rFonts w:ascii="Arial" w:hAnsi="Arial"/>
          <w:color w:val="000000"/>
          <w:sz w:val="20"/>
          <w:lang w:val="en-GB"/>
        </w:rPr>
        <w:t xml:space="preserve">equity turnover. </w:t>
      </w:r>
      <w:r w:rsidR="00950642">
        <w:rPr>
          <w:rFonts w:ascii="Arial" w:hAnsi="Arial"/>
          <w:color w:val="000000"/>
          <w:sz w:val="20"/>
          <w:lang w:val="en-GB"/>
        </w:rPr>
        <w:t xml:space="preserve">The share of Slovene institutional investors remained stable at 37%, whereas </w:t>
      </w:r>
      <w:r w:rsidR="00296F21">
        <w:rPr>
          <w:rFonts w:ascii="Arial" w:hAnsi="Arial"/>
          <w:color w:val="000000"/>
          <w:sz w:val="20"/>
          <w:lang w:val="en-GB"/>
        </w:rPr>
        <w:t xml:space="preserve">the most substantial decrease in turnover share can be seen in Slovene natural persons, which </w:t>
      </w:r>
      <w:r w:rsidR="00950642">
        <w:rPr>
          <w:rFonts w:ascii="Arial" w:hAnsi="Arial"/>
          <w:color w:val="000000"/>
          <w:sz w:val="20"/>
          <w:lang w:val="en-GB"/>
        </w:rPr>
        <w:t>has halved in the last three years, amounting to only 16% in 2012. A</w:t>
      </w:r>
      <w:r w:rsidR="00950642">
        <w:rPr>
          <w:rFonts w:ascii="Arial" w:hAnsi="Arial"/>
          <w:color w:val="000000"/>
          <w:sz w:val="20"/>
          <w:lang w:val="en-GB"/>
        </w:rPr>
        <w:t>c</w:t>
      </w:r>
      <w:r w:rsidR="00950642">
        <w:rPr>
          <w:rFonts w:ascii="Arial" w:hAnsi="Arial"/>
          <w:color w:val="000000"/>
          <w:sz w:val="20"/>
          <w:lang w:val="en-GB"/>
        </w:rPr>
        <w:t xml:space="preserve">cording to the number of transactions, however, natural persons led with a 55% share in all transactions, which were relatively low in value. </w:t>
      </w:r>
    </w:p>
    <w:p w:rsidR="00647E2F" w:rsidRDefault="00647E2F" w:rsidP="003F7B8F">
      <w:pPr>
        <w:spacing w:line="280" w:lineRule="atLeast"/>
        <w:ind w:right="-2"/>
        <w:rPr>
          <w:rFonts w:ascii="Arial" w:hAnsi="Arial"/>
          <w:color w:val="000000"/>
          <w:sz w:val="20"/>
          <w:lang w:val="en-GB"/>
        </w:rPr>
      </w:pPr>
    </w:p>
    <w:p w:rsidR="00647E2F" w:rsidRDefault="001A732C" w:rsidP="003F7B8F">
      <w:pPr>
        <w:spacing w:line="280" w:lineRule="atLeast"/>
        <w:ind w:right="-2"/>
        <w:rPr>
          <w:rFonts w:ascii="Arial" w:hAnsi="Arial"/>
          <w:color w:val="000000"/>
          <w:sz w:val="20"/>
          <w:lang w:val="en-GB"/>
        </w:rPr>
      </w:pPr>
      <w:r>
        <w:rPr>
          <w:rFonts w:ascii="Arial" w:hAnsi="Arial"/>
          <w:color w:val="000000"/>
          <w:sz w:val="20"/>
          <w:lang w:val="en-GB"/>
        </w:rPr>
        <w:t xml:space="preserve">Changes in turnover structure reflect changes in </w:t>
      </w:r>
      <w:r w:rsidR="00980523">
        <w:rPr>
          <w:rFonts w:ascii="Arial" w:hAnsi="Arial"/>
          <w:color w:val="000000"/>
          <w:sz w:val="20"/>
          <w:lang w:val="en-GB"/>
        </w:rPr>
        <w:t xml:space="preserve">the investment culture of retail and institutional investors. </w:t>
      </w:r>
      <w:r w:rsidR="00980523" w:rsidRPr="00093CD8">
        <w:rPr>
          <w:rFonts w:ascii="Arial" w:hAnsi="Arial"/>
          <w:b/>
          <w:color w:val="000000"/>
          <w:sz w:val="20"/>
          <w:lang w:val="en-GB"/>
        </w:rPr>
        <w:t>A</w:t>
      </w:r>
      <w:r w:rsidR="00980523" w:rsidRPr="00093CD8">
        <w:rPr>
          <w:rFonts w:ascii="Arial" w:hAnsi="Arial"/>
          <w:b/>
          <w:color w:val="000000"/>
          <w:sz w:val="20"/>
          <w:lang w:val="en-GB"/>
        </w:rPr>
        <w:t>n</w:t>
      </w:r>
      <w:r w:rsidR="00980523" w:rsidRPr="00093CD8">
        <w:rPr>
          <w:rFonts w:ascii="Arial" w:hAnsi="Arial"/>
          <w:b/>
          <w:color w:val="000000"/>
          <w:sz w:val="20"/>
          <w:lang w:val="en-GB"/>
        </w:rPr>
        <w:t xml:space="preserve">drej </w:t>
      </w:r>
      <w:proofErr w:type="spellStart"/>
      <w:r w:rsidR="00980523" w:rsidRPr="00093CD8">
        <w:rPr>
          <w:rFonts w:ascii="Arial" w:hAnsi="Arial"/>
          <w:b/>
          <w:color w:val="000000"/>
          <w:sz w:val="20"/>
          <w:lang w:val="en-GB"/>
        </w:rPr>
        <w:t>Šketa</w:t>
      </w:r>
      <w:proofErr w:type="spellEnd"/>
      <w:r w:rsidR="00980523" w:rsidRPr="00093CD8">
        <w:rPr>
          <w:rFonts w:ascii="Arial" w:hAnsi="Arial"/>
          <w:b/>
          <w:color w:val="000000"/>
          <w:sz w:val="20"/>
          <w:lang w:val="en-GB"/>
        </w:rPr>
        <w:t xml:space="preserve">, President of the LJSE Management Board, </w:t>
      </w:r>
      <w:r w:rsidR="009C6A5E" w:rsidRPr="00093CD8">
        <w:rPr>
          <w:rFonts w:ascii="Arial" w:hAnsi="Arial"/>
          <w:b/>
          <w:color w:val="000000"/>
          <w:sz w:val="20"/>
          <w:lang w:val="en-GB"/>
        </w:rPr>
        <w:t>stresses that according to investor structure LJSE is becoming increasingly more comparable to developed capital markets. “</w:t>
      </w:r>
      <w:r w:rsidR="00662D01" w:rsidRPr="00093CD8">
        <w:rPr>
          <w:rFonts w:ascii="Arial" w:hAnsi="Arial"/>
          <w:b/>
          <w:color w:val="000000"/>
          <w:sz w:val="20"/>
          <w:lang w:val="en-GB"/>
        </w:rPr>
        <w:t>We strive to cater the needs of Slovene companies on the market</w:t>
      </w:r>
      <w:r w:rsidR="009C6A5E" w:rsidRPr="00093CD8">
        <w:rPr>
          <w:rFonts w:ascii="Arial" w:hAnsi="Arial"/>
          <w:b/>
          <w:color w:val="000000"/>
          <w:sz w:val="20"/>
          <w:lang w:val="en-GB"/>
        </w:rPr>
        <w:t xml:space="preserve"> </w:t>
      </w:r>
      <w:r w:rsidR="00662D01" w:rsidRPr="00093CD8">
        <w:rPr>
          <w:rFonts w:ascii="Arial" w:hAnsi="Arial"/>
          <w:b/>
          <w:color w:val="000000"/>
          <w:sz w:val="20"/>
          <w:lang w:val="en-GB"/>
        </w:rPr>
        <w:t>in Ljubljana regardless of where investors come from.”</w:t>
      </w:r>
      <w:r w:rsidR="00662D01">
        <w:rPr>
          <w:rFonts w:ascii="Arial" w:hAnsi="Arial"/>
          <w:color w:val="000000"/>
          <w:sz w:val="20"/>
          <w:lang w:val="en-GB"/>
        </w:rPr>
        <w:t xml:space="preserve"> </w:t>
      </w:r>
      <w:r w:rsidR="001B0A2A">
        <w:rPr>
          <w:rFonts w:ascii="Arial" w:hAnsi="Arial"/>
          <w:color w:val="000000"/>
          <w:sz w:val="20"/>
          <w:lang w:val="en-GB"/>
        </w:rPr>
        <w:t>LJSE activities in the last three years</w:t>
      </w:r>
      <w:r w:rsidR="006721EB">
        <w:rPr>
          <w:rFonts w:ascii="Arial" w:hAnsi="Arial"/>
          <w:color w:val="000000"/>
          <w:sz w:val="20"/>
          <w:lang w:val="en-GB"/>
        </w:rPr>
        <w:t>,</w:t>
      </w:r>
      <w:r w:rsidR="00AE32AC">
        <w:rPr>
          <w:rFonts w:ascii="Arial" w:hAnsi="Arial"/>
          <w:color w:val="000000"/>
          <w:sz w:val="20"/>
          <w:lang w:val="en-GB"/>
        </w:rPr>
        <w:t xml:space="preserve"> such as </w:t>
      </w:r>
      <w:proofErr w:type="spellStart"/>
      <w:r w:rsidR="00AE32AC">
        <w:rPr>
          <w:rFonts w:ascii="Arial" w:hAnsi="Arial"/>
          <w:color w:val="000000"/>
          <w:sz w:val="20"/>
          <w:lang w:val="en-GB"/>
        </w:rPr>
        <w:t>Xetra</w:t>
      </w:r>
      <w:proofErr w:type="spellEnd"/>
      <w:r w:rsidR="00AE32AC">
        <w:rPr>
          <w:rFonts w:ascii="Arial" w:hAnsi="Arial"/>
          <w:color w:val="000000"/>
          <w:sz w:val="20"/>
          <w:lang w:val="en-GB"/>
        </w:rPr>
        <w:t xml:space="preserve"> trading system introduction and thus direct access of inte</w:t>
      </w:r>
      <w:r w:rsidR="00AE32AC">
        <w:rPr>
          <w:rFonts w:ascii="Arial" w:hAnsi="Arial"/>
          <w:color w:val="000000"/>
          <w:sz w:val="20"/>
          <w:lang w:val="en-GB"/>
        </w:rPr>
        <w:t>r</w:t>
      </w:r>
      <w:r w:rsidR="00AE32AC">
        <w:rPr>
          <w:rFonts w:ascii="Arial" w:hAnsi="Arial"/>
          <w:color w:val="000000"/>
          <w:sz w:val="20"/>
          <w:lang w:val="en-GB"/>
        </w:rPr>
        <w:t>national financial intermediaries to trading, and continuous promotion of the most prominent Prime Market co</w:t>
      </w:r>
      <w:r w:rsidR="00AE32AC">
        <w:rPr>
          <w:rFonts w:ascii="Arial" w:hAnsi="Arial"/>
          <w:color w:val="000000"/>
          <w:sz w:val="20"/>
          <w:lang w:val="en-GB"/>
        </w:rPr>
        <w:t>m</w:t>
      </w:r>
      <w:r w:rsidR="00AE32AC">
        <w:rPr>
          <w:rFonts w:ascii="Arial" w:hAnsi="Arial"/>
          <w:color w:val="000000"/>
          <w:sz w:val="20"/>
          <w:lang w:val="en-GB"/>
        </w:rPr>
        <w:t>panies, who regularly hold presentations on investment conferences</w:t>
      </w:r>
      <w:r w:rsidR="00244B20">
        <w:rPr>
          <w:rFonts w:ascii="Arial" w:hAnsi="Arial"/>
          <w:color w:val="000000"/>
          <w:sz w:val="20"/>
          <w:lang w:val="en-GB"/>
        </w:rPr>
        <w:t>,</w:t>
      </w:r>
      <w:r w:rsidR="00AE32AC">
        <w:rPr>
          <w:rFonts w:ascii="Arial" w:hAnsi="Arial"/>
          <w:color w:val="000000"/>
          <w:sz w:val="20"/>
          <w:lang w:val="en-GB"/>
        </w:rPr>
        <w:t xml:space="preserve"> </w:t>
      </w:r>
      <w:r w:rsidR="006721EB">
        <w:rPr>
          <w:rFonts w:ascii="Arial" w:hAnsi="Arial"/>
          <w:color w:val="000000"/>
          <w:sz w:val="20"/>
          <w:lang w:val="en-GB"/>
        </w:rPr>
        <w:t xml:space="preserve">thereby </w:t>
      </w:r>
      <w:r w:rsidR="00B12427">
        <w:rPr>
          <w:rFonts w:ascii="Arial" w:hAnsi="Arial"/>
          <w:color w:val="000000"/>
          <w:sz w:val="20"/>
          <w:lang w:val="en-GB"/>
        </w:rPr>
        <w:t>ensuring</w:t>
      </w:r>
      <w:r w:rsidR="00AE32AC">
        <w:rPr>
          <w:rFonts w:ascii="Arial" w:hAnsi="Arial"/>
          <w:color w:val="000000"/>
          <w:sz w:val="20"/>
          <w:lang w:val="en-GB"/>
        </w:rPr>
        <w:t xml:space="preserve"> visibility </w:t>
      </w:r>
      <w:r w:rsidR="00B12427">
        <w:rPr>
          <w:rFonts w:ascii="Arial" w:hAnsi="Arial"/>
          <w:color w:val="000000"/>
          <w:sz w:val="20"/>
          <w:lang w:val="en-GB"/>
        </w:rPr>
        <w:t>with investors,</w:t>
      </w:r>
      <w:r w:rsidR="001B0A2A">
        <w:rPr>
          <w:rFonts w:ascii="Arial" w:hAnsi="Arial"/>
          <w:color w:val="000000"/>
          <w:sz w:val="20"/>
          <w:lang w:val="en-GB"/>
        </w:rPr>
        <w:t xml:space="preserve"> have undoubtedly contributed to these positive trends</w:t>
      </w:r>
      <w:r w:rsidR="00244B20">
        <w:rPr>
          <w:rFonts w:ascii="Arial" w:hAnsi="Arial"/>
          <w:color w:val="000000"/>
          <w:sz w:val="20"/>
          <w:lang w:val="en-GB"/>
        </w:rPr>
        <w:t>.</w:t>
      </w:r>
      <w:r w:rsidR="006721EB">
        <w:rPr>
          <w:rFonts w:ascii="Arial" w:hAnsi="Arial"/>
          <w:color w:val="000000"/>
          <w:sz w:val="20"/>
          <w:lang w:val="en-GB"/>
        </w:rPr>
        <w:t xml:space="preserve"> </w:t>
      </w:r>
      <w:r w:rsidR="00477668">
        <w:rPr>
          <w:rFonts w:ascii="Arial" w:hAnsi="Arial"/>
          <w:color w:val="000000"/>
          <w:sz w:val="20"/>
          <w:lang w:val="en-GB"/>
        </w:rPr>
        <w:t xml:space="preserve">Last year </w:t>
      </w:r>
      <w:r w:rsidR="006721EB">
        <w:rPr>
          <w:rFonts w:ascii="Arial" w:hAnsi="Arial"/>
          <w:color w:val="000000"/>
          <w:sz w:val="20"/>
          <w:lang w:val="en-GB"/>
        </w:rPr>
        <w:t>Prime Market companies held as many as 228 one-on-one meetings with interested local and international investors</w:t>
      </w:r>
      <w:r w:rsidR="00244B20">
        <w:rPr>
          <w:rFonts w:ascii="Arial" w:hAnsi="Arial"/>
          <w:color w:val="000000"/>
          <w:sz w:val="20"/>
          <w:lang w:val="en-GB"/>
        </w:rPr>
        <w:t xml:space="preserve"> on two investment events in Ljubljana</w:t>
      </w:r>
      <w:r w:rsidR="006721EB">
        <w:rPr>
          <w:rFonts w:ascii="Arial" w:hAnsi="Arial"/>
          <w:color w:val="000000"/>
          <w:sz w:val="20"/>
          <w:lang w:val="en-GB"/>
        </w:rPr>
        <w:t>. They also participated in promotion</w:t>
      </w:r>
      <w:r w:rsidR="00244B20">
        <w:rPr>
          <w:rFonts w:ascii="Arial" w:hAnsi="Arial"/>
          <w:color w:val="000000"/>
          <w:sz w:val="20"/>
          <w:lang w:val="en-GB"/>
        </w:rPr>
        <w:t>al</w:t>
      </w:r>
      <w:r w:rsidR="006721EB">
        <w:rPr>
          <w:rFonts w:ascii="Arial" w:hAnsi="Arial"/>
          <w:color w:val="000000"/>
          <w:sz w:val="20"/>
          <w:lang w:val="en-GB"/>
        </w:rPr>
        <w:t xml:space="preserve"> events abroad, which were organized by LJSE members.</w:t>
      </w:r>
    </w:p>
    <w:p w:rsidR="00244B20" w:rsidRDefault="00244B20" w:rsidP="003F7B8F">
      <w:pPr>
        <w:spacing w:line="280" w:lineRule="atLeast"/>
        <w:ind w:right="-2"/>
        <w:rPr>
          <w:rFonts w:ascii="Arial" w:hAnsi="Arial"/>
          <w:color w:val="000000"/>
          <w:sz w:val="20"/>
          <w:lang w:val="en-GB"/>
        </w:rPr>
      </w:pPr>
    </w:p>
    <w:p w:rsidR="009554CB" w:rsidRDefault="00477668" w:rsidP="001301F3">
      <w:pPr>
        <w:spacing w:line="280" w:lineRule="atLeast"/>
        <w:ind w:right="-2"/>
        <w:rPr>
          <w:rFonts w:ascii="Arial" w:hAnsi="Arial"/>
          <w:color w:val="000000"/>
          <w:sz w:val="20"/>
          <w:lang w:val="en-GB"/>
        </w:rPr>
      </w:pPr>
      <w:r>
        <w:rPr>
          <w:rFonts w:ascii="Arial" w:hAnsi="Arial" w:cs="Arial"/>
          <w:sz w:val="20"/>
          <w:szCs w:val="20"/>
          <w:lang w:val="en-GB"/>
        </w:rPr>
        <w:t xml:space="preserve">In 2013 turnover is </w:t>
      </w:r>
      <w:r w:rsidR="000F7E09">
        <w:rPr>
          <w:rFonts w:ascii="Arial" w:hAnsi="Arial" w:cs="Arial"/>
          <w:sz w:val="20"/>
          <w:szCs w:val="20"/>
          <w:lang w:val="en-GB"/>
        </w:rPr>
        <w:t>38%</w:t>
      </w:r>
      <w:r>
        <w:rPr>
          <w:rFonts w:ascii="Arial" w:hAnsi="Arial" w:cs="Arial"/>
          <w:sz w:val="20"/>
          <w:szCs w:val="20"/>
          <w:lang w:val="en-GB"/>
        </w:rPr>
        <w:t xml:space="preserve"> higher than in the same period last year; however, </w:t>
      </w:r>
      <w:r w:rsidRPr="00477668">
        <w:rPr>
          <w:rFonts w:ascii="Arial" w:hAnsi="Arial" w:cs="Arial"/>
          <w:sz w:val="20"/>
          <w:szCs w:val="20"/>
          <w:lang w:val="en-GB"/>
        </w:rPr>
        <w:t xml:space="preserve">significant fluctuations in </w:t>
      </w:r>
      <w:r w:rsidR="005B3E6D">
        <w:rPr>
          <w:rFonts w:ascii="Arial" w:hAnsi="Arial" w:cs="Arial"/>
          <w:sz w:val="20"/>
          <w:szCs w:val="20"/>
          <w:lang w:val="en-GB"/>
        </w:rPr>
        <w:t xml:space="preserve">the prices of </w:t>
      </w:r>
      <w:r>
        <w:rPr>
          <w:rFonts w:ascii="Arial" w:hAnsi="Arial" w:cs="Arial"/>
          <w:sz w:val="20"/>
          <w:szCs w:val="20"/>
          <w:lang w:val="en-GB"/>
        </w:rPr>
        <w:t>equi</w:t>
      </w:r>
      <w:r w:rsidR="005B3E6D">
        <w:rPr>
          <w:rFonts w:ascii="Arial" w:hAnsi="Arial" w:cs="Arial"/>
          <w:sz w:val="20"/>
          <w:szCs w:val="20"/>
          <w:lang w:val="en-GB"/>
        </w:rPr>
        <w:t>ties</w:t>
      </w:r>
      <w:r w:rsidRPr="00477668">
        <w:rPr>
          <w:rFonts w:ascii="Arial" w:hAnsi="Arial" w:cs="Arial"/>
          <w:sz w:val="20"/>
          <w:szCs w:val="20"/>
          <w:lang w:val="en-GB"/>
        </w:rPr>
        <w:t xml:space="preserve"> </w:t>
      </w:r>
      <w:r>
        <w:rPr>
          <w:rFonts w:ascii="Arial" w:hAnsi="Arial" w:cs="Arial"/>
          <w:sz w:val="20"/>
          <w:szCs w:val="20"/>
          <w:lang w:val="en-GB"/>
        </w:rPr>
        <w:t>included in SBI TOP index can be observed.</w:t>
      </w:r>
      <w:r w:rsidRPr="00477668">
        <w:rPr>
          <w:rFonts w:ascii="Arial" w:hAnsi="Arial" w:cs="Arial"/>
          <w:sz w:val="20"/>
          <w:szCs w:val="20"/>
          <w:lang w:val="en-GB"/>
        </w:rPr>
        <w:t xml:space="preserve"> </w:t>
      </w:r>
      <w:r w:rsidR="005B3E6D">
        <w:rPr>
          <w:rFonts w:ascii="Arial" w:hAnsi="Arial" w:cs="Arial"/>
          <w:sz w:val="20"/>
          <w:szCs w:val="20"/>
          <w:lang w:val="en-GB"/>
        </w:rPr>
        <w:t>E</w:t>
      </w:r>
      <w:r w:rsidR="00D758A6">
        <w:rPr>
          <w:rFonts w:ascii="Arial" w:hAnsi="Arial" w:cs="Arial"/>
          <w:sz w:val="20"/>
          <w:szCs w:val="20"/>
          <w:lang w:val="en-GB"/>
        </w:rPr>
        <w:t xml:space="preserve">specially encouraging is </w:t>
      </w:r>
      <w:r w:rsidR="005B3E6D">
        <w:rPr>
          <w:rFonts w:ascii="Arial" w:hAnsi="Arial" w:cs="Arial"/>
          <w:sz w:val="20"/>
          <w:szCs w:val="20"/>
          <w:lang w:val="en-GB"/>
        </w:rPr>
        <w:t xml:space="preserve">also </w:t>
      </w:r>
      <w:r w:rsidR="00D758A6">
        <w:rPr>
          <w:rFonts w:ascii="Arial" w:hAnsi="Arial" w:cs="Arial"/>
          <w:sz w:val="20"/>
          <w:szCs w:val="20"/>
          <w:lang w:val="en-GB"/>
        </w:rPr>
        <w:t>the fact that</w:t>
      </w:r>
      <w:r w:rsidR="00096E98">
        <w:rPr>
          <w:rFonts w:ascii="Arial" w:hAnsi="Arial" w:cs="Arial"/>
          <w:sz w:val="20"/>
          <w:szCs w:val="20"/>
          <w:lang w:val="en-GB"/>
        </w:rPr>
        <w:t xml:space="preserve"> the</w:t>
      </w:r>
      <w:r w:rsidR="00142CB8">
        <w:rPr>
          <w:rFonts w:ascii="Arial" w:hAnsi="Arial"/>
          <w:color w:val="000000"/>
          <w:sz w:val="20"/>
          <w:lang w:val="en-GB"/>
        </w:rPr>
        <w:t xml:space="preserve"> interest of international investors in </w:t>
      </w:r>
      <w:r w:rsidR="008467BA">
        <w:rPr>
          <w:rFonts w:ascii="Arial" w:hAnsi="Arial"/>
          <w:color w:val="000000"/>
          <w:sz w:val="20"/>
          <w:lang w:val="en-GB"/>
        </w:rPr>
        <w:t>equities</w:t>
      </w:r>
      <w:r w:rsidR="00142CB8">
        <w:rPr>
          <w:rFonts w:ascii="Arial" w:hAnsi="Arial"/>
          <w:color w:val="000000"/>
          <w:sz w:val="20"/>
          <w:lang w:val="en-GB"/>
        </w:rPr>
        <w:t xml:space="preserve"> of Slovene companies continues to progress, as their share in LJSE </w:t>
      </w:r>
      <w:r w:rsidR="00B5354A">
        <w:rPr>
          <w:rFonts w:ascii="Arial" w:hAnsi="Arial"/>
          <w:color w:val="000000"/>
          <w:sz w:val="20"/>
          <w:lang w:val="en-GB"/>
        </w:rPr>
        <w:t xml:space="preserve">equity </w:t>
      </w:r>
      <w:r w:rsidR="00142CB8">
        <w:rPr>
          <w:rFonts w:ascii="Arial" w:hAnsi="Arial"/>
          <w:color w:val="000000"/>
          <w:sz w:val="20"/>
          <w:lang w:val="en-GB"/>
        </w:rPr>
        <w:t>market capitalisation is steadily increasing, amounting to 14</w:t>
      </w:r>
      <w:r w:rsidR="00334917">
        <w:rPr>
          <w:rFonts w:ascii="Arial" w:hAnsi="Arial"/>
          <w:color w:val="000000"/>
          <w:sz w:val="20"/>
          <w:lang w:val="en-GB"/>
        </w:rPr>
        <w:t>.1</w:t>
      </w:r>
      <w:r w:rsidR="00142CB8">
        <w:rPr>
          <w:rFonts w:ascii="Arial" w:hAnsi="Arial"/>
          <w:color w:val="000000"/>
          <w:sz w:val="20"/>
          <w:lang w:val="en-GB"/>
        </w:rPr>
        <w:t>9% at the end of January 2013.</w:t>
      </w:r>
    </w:p>
    <w:bookmarkEnd w:id="0"/>
    <w:p w:rsidR="008F6093" w:rsidRDefault="008F6093" w:rsidP="001301F3">
      <w:pPr>
        <w:spacing w:line="280" w:lineRule="atLeast"/>
        <w:ind w:right="-2"/>
        <w:rPr>
          <w:rFonts w:ascii="Arial" w:hAnsi="Arial"/>
          <w:color w:val="000000"/>
          <w:sz w:val="20"/>
          <w:lang w:val="en-GB"/>
        </w:rPr>
      </w:pPr>
    </w:p>
    <w:p w:rsidR="009554CB" w:rsidRPr="008F6093" w:rsidRDefault="008F6093" w:rsidP="001301F3">
      <w:pPr>
        <w:spacing w:line="280" w:lineRule="atLeast"/>
        <w:ind w:right="-2"/>
        <w:rPr>
          <w:rFonts w:ascii="Arial" w:hAnsi="Arial"/>
          <w:i/>
          <w:color w:val="000000"/>
          <w:sz w:val="20"/>
          <w:lang w:val="en-GB"/>
        </w:rPr>
      </w:pPr>
      <w:r w:rsidRPr="008F6093">
        <w:rPr>
          <w:rFonts w:ascii="Arial" w:hAnsi="Arial"/>
          <w:i/>
          <w:color w:val="000000"/>
          <w:sz w:val="20"/>
          <w:lang w:val="en-GB"/>
        </w:rPr>
        <w:t>Table: Structure of LJSE turnover by type of investors (Prime Market)</w:t>
      </w:r>
    </w:p>
    <w:p w:rsidR="00951B5A" w:rsidRDefault="009554CB" w:rsidP="001301F3">
      <w:pPr>
        <w:spacing w:line="280" w:lineRule="atLeast"/>
        <w:ind w:right="-2"/>
        <w:rPr>
          <w:rFonts w:ascii="Arial" w:hAnsi="Arial"/>
          <w:color w:val="000000"/>
          <w:sz w:val="20"/>
          <w:lang w:val="en-GB"/>
        </w:rPr>
      </w:pPr>
      <w:r>
        <w:rPr>
          <w:rFonts w:ascii="Arial" w:hAnsi="Arial"/>
          <w:noProof/>
          <w:color w:val="000000"/>
          <w:sz w:val="20"/>
          <w:lang w:val="en-US" w:eastAsia="zh-CN"/>
        </w:rPr>
        <w:drawing>
          <wp:inline distT="0" distB="0" distL="0" distR="0" wp14:anchorId="5CBB2E67">
            <wp:extent cx="6035040" cy="313194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3466" cy="3131129"/>
                    </a:xfrm>
                    <a:prstGeom prst="rect">
                      <a:avLst/>
                    </a:prstGeom>
                    <a:noFill/>
                  </pic:spPr>
                </pic:pic>
              </a:graphicData>
            </a:graphic>
          </wp:inline>
        </w:drawing>
      </w:r>
    </w:p>
    <w:p w:rsidR="00244B20" w:rsidRPr="003B1742" w:rsidRDefault="003618EC" w:rsidP="009554CB">
      <w:pPr>
        <w:tabs>
          <w:tab w:val="left" w:pos="6612"/>
        </w:tabs>
        <w:spacing w:line="280" w:lineRule="atLeast"/>
        <w:ind w:right="-2"/>
        <w:rPr>
          <w:rFonts w:ascii="Arial" w:hAnsi="Arial"/>
          <w:color w:val="000000"/>
          <w:sz w:val="18"/>
          <w:szCs w:val="18"/>
          <w:lang w:val="en-GB"/>
        </w:rPr>
      </w:pPr>
      <w:r w:rsidRPr="003B1742">
        <w:rPr>
          <w:rFonts w:ascii="Arial" w:hAnsi="Arial"/>
          <w:color w:val="000000"/>
          <w:sz w:val="18"/>
          <w:szCs w:val="18"/>
          <w:lang w:val="en-GB"/>
        </w:rPr>
        <w:t xml:space="preserve">Source: </w:t>
      </w:r>
      <w:r w:rsidR="003B1742" w:rsidRPr="003B1742">
        <w:rPr>
          <w:rFonts w:ascii="Arial" w:hAnsi="Arial"/>
          <w:color w:val="000000"/>
          <w:sz w:val="18"/>
          <w:szCs w:val="18"/>
          <w:lang w:val="en-GB"/>
        </w:rPr>
        <w:t>LJSE, Slovene Central S</w:t>
      </w:r>
      <w:r w:rsidR="00B93BE2">
        <w:rPr>
          <w:rFonts w:ascii="Arial" w:hAnsi="Arial"/>
          <w:color w:val="000000"/>
          <w:sz w:val="18"/>
          <w:szCs w:val="18"/>
          <w:lang w:val="en-GB"/>
        </w:rPr>
        <w:t>ecurities Clearing Corporation.</w:t>
      </w:r>
      <w:r w:rsidR="009554CB">
        <w:rPr>
          <w:rFonts w:ascii="Arial" w:hAnsi="Arial"/>
          <w:color w:val="000000"/>
          <w:sz w:val="18"/>
          <w:szCs w:val="18"/>
          <w:lang w:val="en-GB"/>
        </w:rPr>
        <w:tab/>
      </w:r>
    </w:p>
    <w:p w:rsidR="00EE572E" w:rsidRDefault="00EE572E" w:rsidP="003F7B8F">
      <w:pPr>
        <w:spacing w:line="280" w:lineRule="atLeast"/>
        <w:ind w:right="-2"/>
        <w:rPr>
          <w:rFonts w:ascii="Arial" w:hAnsi="Arial"/>
          <w:color w:val="000000"/>
          <w:sz w:val="20"/>
          <w:lang w:val="en-GB"/>
        </w:rPr>
      </w:pPr>
    </w:p>
    <w:p w:rsidR="008F6093" w:rsidRPr="008F6093" w:rsidRDefault="008F6093" w:rsidP="003F7B8F">
      <w:pPr>
        <w:spacing w:line="280" w:lineRule="atLeast"/>
        <w:ind w:right="-2"/>
        <w:rPr>
          <w:rFonts w:ascii="Arial" w:hAnsi="Arial"/>
          <w:i/>
          <w:color w:val="000000"/>
          <w:sz w:val="20"/>
          <w:lang w:val="en-GB"/>
        </w:rPr>
      </w:pPr>
      <w:r w:rsidRPr="008F6093">
        <w:rPr>
          <w:rFonts w:ascii="Arial" w:hAnsi="Arial"/>
          <w:i/>
          <w:color w:val="000000"/>
          <w:sz w:val="20"/>
          <w:lang w:val="en-GB"/>
        </w:rPr>
        <w:t>Table: Share of international investors in LJSE equity market capitalisation from 31 January 2012 to 31 January 2013</w:t>
      </w:r>
    </w:p>
    <w:p w:rsidR="00EE572E" w:rsidRDefault="00B93BE2" w:rsidP="00A94ADD">
      <w:pPr>
        <w:tabs>
          <w:tab w:val="left" w:pos="8087"/>
        </w:tabs>
        <w:spacing w:line="280" w:lineRule="atLeast"/>
        <w:ind w:right="-2"/>
        <w:rPr>
          <w:rFonts w:ascii="Arial" w:hAnsi="Arial"/>
          <w:color w:val="000000"/>
          <w:sz w:val="20"/>
          <w:lang w:val="en-GB"/>
        </w:rPr>
      </w:pPr>
      <w:r w:rsidRPr="00B93BE2">
        <w:rPr>
          <w:rFonts w:ascii="Arial" w:hAnsi="Arial"/>
          <w:noProof/>
          <w:color w:val="000000"/>
          <w:sz w:val="20"/>
          <w:lang w:val="en-US" w:eastAsia="zh-CN"/>
        </w:rPr>
        <w:drawing>
          <wp:inline distT="0" distB="0" distL="0" distR="0" wp14:anchorId="07320B96" wp14:editId="25F336A3">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A94ADD">
        <w:rPr>
          <w:rFonts w:ascii="Arial" w:hAnsi="Arial"/>
          <w:color w:val="000000"/>
          <w:sz w:val="20"/>
          <w:lang w:val="en-GB"/>
        </w:rPr>
        <w:tab/>
      </w:r>
    </w:p>
    <w:p w:rsidR="00B93BE2" w:rsidRPr="003B1742" w:rsidRDefault="00B93BE2" w:rsidP="00B93BE2">
      <w:pPr>
        <w:spacing w:line="280" w:lineRule="atLeast"/>
        <w:ind w:right="-2"/>
        <w:rPr>
          <w:rFonts w:ascii="Arial" w:hAnsi="Arial"/>
          <w:color w:val="000000"/>
          <w:sz w:val="18"/>
          <w:szCs w:val="18"/>
          <w:lang w:val="en-GB"/>
        </w:rPr>
      </w:pPr>
      <w:r w:rsidRPr="003B1742">
        <w:rPr>
          <w:rFonts w:ascii="Arial" w:hAnsi="Arial"/>
          <w:color w:val="000000"/>
          <w:sz w:val="18"/>
          <w:szCs w:val="18"/>
          <w:lang w:val="en-GB"/>
        </w:rPr>
        <w:t>Source: LJSE</w:t>
      </w:r>
    </w:p>
    <w:p w:rsidR="00332F00" w:rsidRDefault="00332F00" w:rsidP="00634ABA">
      <w:pPr>
        <w:spacing w:line="280" w:lineRule="atLeast"/>
        <w:ind w:right="561"/>
        <w:rPr>
          <w:rFonts w:ascii="Arial" w:hAnsi="Arial"/>
          <w:b/>
          <w:color w:val="000000"/>
          <w:sz w:val="20"/>
          <w:lang w:val="en-US"/>
        </w:rPr>
      </w:pPr>
    </w:p>
    <w:p w:rsidR="00634ABA" w:rsidRPr="00725DBC" w:rsidRDefault="00634ABA" w:rsidP="00634ABA">
      <w:pPr>
        <w:spacing w:line="280" w:lineRule="atLeast"/>
        <w:ind w:right="561"/>
        <w:rPr>
          <w:rFonts w:ascii="Arial" w:hAnsi="Arial"/>
          <w:b/>
          <w:color w:val="000000"/>
          <w:sz w:val="20"/>
          <w:lang w:val="en-GB"/>
        </w:rPr>
      </w:pPr>
      <w:r w:rsidRPr="00342C08">
        <w:rPr>
          <w:rFonts w:ascii="Arial" w:hAnsi="Arial"/>
          <w:b/>
          <w:color w:val="000000"/>
          <w:sz w:val="20"/>
          <w:lang w:val="en-US"/>
        </w:rPr>
        <w:t>For further information, please contact:</w:t>
      </w:r>
    </w:p>
    <w:p w:rsidR="00634ABA" w:rsidRPr="00342C08" w:rsidRDefault="00634ABA" w:rsidP="00634ABA">
      <w:pPr>
        <w:spacing w:line="280" w:lineRule="atLeast"/>
        <w:ind w:right="561"/>
        <w:rPr>
          <w:rFonts w:ascii="Arial" w:hAnsi="Arial"/>
          <w:color w:val="000000"/>
          <w:sz w:val="20"/>
          <w:lang w:val="en-GB"/>
        </w:rPr>
      </w:pPr>
      <w:proofErr w:type="spellStart"/>
      <w:r w:rsidRPr="00342C08">
        <w:rPr>
          <w:rFonts w:ascii="Arial" w:hAnsi="Arial"/>
          <w:color w:val="000000"/>
          <w:sz w:val="20"/>
          <w:lang w:val="en-GB"/>
        </w:rPr>
        <w:t>Metka</w:t>
      </w:r>
      <w:proofErr w:type="spellEnd"/>
      <w:r w:rsidRPr="00342C08">
        <w:rPr>
          <w:rFonts w:ascii="Arial" w:hAnsi="Arial"/>
          <w:color w:val="000000"/>
          <w:sz w:val="20"/>
          <w:lang w:val="en-GB"/>
        </w:rPr>
        <w:t xml:space="preserve"> </w:t>
      </w:r>
      <w:proofErr w:type="spellStart"/>
      <w:r w:rsidRPr="00342C08">
        <w:rPr>
          <w:rFonts w:ascii="Arial" w:hAnsi="Arial"/>
          <w:color w:val="000000"/>
          <w:sz w:val="20"/>
          <w:lang w:val="en-GB"/>
        </w:rPr>
        <w:t>Šipek</w:t>
      </w:r>
      <w:proofErr w:type="spellEnd"/>
      <w:r w:rsidRPr="00342C08">
        <w:rPr>
          <w:rFonts w:ascii="Arial" w:hAnsi="Arial"/>
          <w:color w:val="000000"/>
          <w:sz w:val="20"/>
          <w:lang w:val="en-GB"/>
        </w:rPr>
        <w:t>, Head</w:t>
      </w:r>
    </w:p>
    <w:p w:rsidR="00634ABA" w:rsidRPr="00342C08" w:rsidRDefault="00634ABA" w:rsidP="00634ABA">
      <w:pPr>
        <w:spacing w:line="280" w:lineRule="atLeast"/>
        <w:ind w:right="561"/>
        <w:rPr>
          <w:rFonts w:ascii="Arial" w:hAnsi="Arial"/>
          <w:color w:val="000000"/>
          <w:sz w:val="20"/>
          <w:lang w:val="en-GB"/>
        </w:rPr>
      </w:pPr>
      <w:r w:rsidRPr="00342C08">
        <w:rPr>
          <w:rFonts w:ascii="Arial" w:hAnsi="Arial"/>
          <w:color w:val="000000"/>
          <w:sz w:val="20"/>
          <w:lang w:val="en-GB"/>
        </w:rPr>
        <w:t>Management Board Cabinet &amp; Public Relations</w:t>
      </w:r>
    </w:p>
    <w:p w:rsidR="00634ABA" w:rsidRPr="00342C08" w:rsidRDefault="00634ABA" w:rsidP="00634ABA">
      <w:pPr>
        <w:spacing w:line="280" w:lineRule="atLeast"/>
        <w:ind w:right="561"/>
        <w:rPr>
          <w:rFonts w:ascii="Arial" w:hAnsi="Arial"/>
          <w:color w:val="000000"/>
          <w:sz w:val="20"/>
          <w:lang w:val="en-GB"/>
        </w:rPr>
      </w:pPr>
      <w:r w:rsidRPr="00342C08">
        <w:rPr>
          <w:rFonts w:ascii="Arial" w:hAnsi="Arial"/>
          <w:color w:val="000000"/>
          <w:sz w:val="20"/>
          <w:lang w:val="en-GB"/>
        </w:rPr>
        <w:t>Telephone: +386 1/471 0221</w:t>
      </w:r>
    </w:p>
    <w:p w:rsidR="00634ABA" w:rsidRPr="00342C08" w:rsidRDefault="00634ABA" w:rsidP="00634ABA">
      <w:pPr>
        <w:spacing w:line="280" w:lineRule="atLeast"/>
        <w:ind w:right="561"/>
        <w:rPr>
          <w:rFonts w:ascii="Arial" w:hAnsi="Arial" w:cs="Arial"/>
          <w:sz w:val="20"/>
          <w:szCs w:val="20"/>
          <w:lang w:val="en-GB"/>
        </w:rPr>
      </w:pPr>
      <w:r w:rsidRPr="00342C08">
        <w:rPr>
          <w:rFonts w:ascii="Arial" w:hAnsi="Arial" w:cs="Arial"/>
          <w:sz w:val="20"/>
          <w:szCs w:val="20"/>
          <w:lang w:val="en-GB"/>
        </w:rPr>
        <w:t xml:space="preserve">E-mail: metka.sipek@ljse.si </w:t>
      </w:r>
    </w:p>
    <w:p w:rsidR="00634ABA" w:rsidRPr="00342C08" w:rsidRDefault="00634ABA" w:rsidP="00634ABA">
      <w:pPr>
        <w:spacing w:line="280" w:lineRule="atLeast"/>
        <w:ind w:right="561"/>
        <w:rPr>
          <w:rFonts w:ascii="Arial" w:hAnsi="Arial"/>
          <w:color w:val="000000"/>
          <w:sz w:val="20"/>
          <w:lang w:val="sl-SI"/>
        </w:rPr>
      </w:pPr>
    </w:p>
    <w:p w:rsidR="00634ABA" w:rsidRPr="00160BB4" w:rsidRDefault="00634ABA" w:rsidP="00634ABA">
      <w:pPr>
        <w:spacing w:line="240" w:lineRule="atLeast"/>
        <w:jc w:val="both"/>
        <w:rPr>
          <w:rFonts w:ascii="Arial" w:hAnsi="Arial" w:cs="Arial"/>
          <w:b/>
          <w:bCs/>
          <w:sz w:val="16"/>
          <w:szCs w:val="16"/>
          <w:lang w:val="en-US"/>
        </w:rPr>
      </w:pPr>
      <w:r w:rsidRPr="00160BB4">
        <w:rPr>
          <w:rFonts w:ascii="Arial" w:hAnsi="Arial" w:cs="Arial"/>
          <w:b/>
          <w:bCs/>
          <w:sz w:val="16"/>
          <w:szCs w:val="16"/>
          <w:lang w:val="en-US"/>
        </w:rPr>
        <w:lastRenderedPageBreak/>
        <w:t xml:space="preserve">About the </w:t>
      </w:r>
      <w:r>
        <w:rPr>
          <w:rFonts w:ascii="Arial" w:hAnsi="Arial" w:cs="Arial"/>
          <w:b/>
          <w:bCs/>
          <w:sz w:val="16"/>
          <w:szCs w:val="16"/>
          <w:lang w:val="en-US"/>
        </w:rPr>
        <w:t>Ljubljana Stock Exchange</w:t>
      </w:r>
      <w:r w:rsidRPr="00160BB4">
        <w:rPr>
          <w:rFonts w:ascii="Arial" w:hAnsi="Arial" w:cs="Arial"/>
          <w:b/>
          <w:bCs/>
          <w:sz w:val="16"/>
          <w:szCs w:val="16"/>
          <w:lang w:val="en-US"/>
        </w:rPr>
        <w:t xml:space="preserve"> </w:t>
      </w:r>
    </w:p>
    <w:p w:rsidR="00634ABA" w:rsidRDefault="00634ABA" w:rsidP="00634ABA">
      <w:pPr>
        <w:spacing w:line="280" w:lineRule="atLeast"/>
      </w:pPr>
      <w:r w:rsidRPr="008F48A8">
        <w:rPr>
          <w:rFonts w:ascii="Arial" w:hAnsi="Arial" w:cs="Arial"/>
          <w:sz w:val="16"/>
          <w:szCs w:val="16"/>
          <w:lang w:val="en-GB"/>
        </w:rPr>
        <w:t xml:space="preserve">The </w:t>
      </w:r>
      <w:r>
        <w:rPr>
          <w:rFonts w:ascii="Arial" w:hAnsi="Arial" w:cs="Arial"/>
          <w:sz w:val="16"/>
          <w:szCs w:val="16"/>
          <w:lang w:val="en-GB"/>
        </w:rPr>
        <w:t>Ljubljana</w:t>
      </w:r>
      <w:r w:rsidRPr="008F48A8">
        <w:rPr>
          <w:rFonts w:ascii="Arial" w:hAnsi="Arial" w:cs="Arial"/>
          <w:sz w:val="16"/>
          <w:szCs w:val="16"/>
          <w:lang w:val="en-GB"/>
        </w:rPr>
        <w:t xml:space="preserve"> Stock Exchange is a 100% subsidiary of the CEE Stock Exchange Group (CEESEG) which also includes the stock exchan</w:t>
      </w:r>
      <w:r w:rsidRPr="008F48A8">
        <w:rPr>
          <w:rFonts w:ascii="Arial" w:hAnsi="Arial" w:cs="Arial"/>
          <w:sz w:val="16"/>
          <w:szCs w:val="16"/>
          <w:lang w:val="en-GB"/>
        </w:rPr>
        <w:t>g</w:t>
      </w:r>
      <w:r>
        <w:rPr>
          <w:rFonts w:ascii="Arial" w:hAnsi="Arial" w:cs="Arial"/>
          <w:sz w:val="16"/>
          <w:szCs w:val="16"/>
          <w:lang w:val="en-GB"/>
        </w:rPr>
        <w:t xml:space="preserve">es of Budapest, </w:t>
      </w:r>
      <w:r w:rsidRPr="008F48A8">
        <w:rPr>
          <w:rFonts w:ascii="Arial" w:hAnsi="Arial" w:cs="Arial"/>
          <w:sz w:val="16"/>
          <w:szCs w:val="16"/>
          <w:lang w:val="en-GB"/>
        </w:rPr>
        <w:t>Prague</w:t>
      </w:r>
      <w:r>
        <w:rPr>
          <w:rFonts w:ascii="Arial" w:hAnsi="Arial" w:cs="Arial"/>
          <w:sz w:val="16"/>
          <w:szCs w:val="16"/>
          <w:lang w:val="en-GB"/>
        </w:rPr>
        <w:t xml:space="preserve"> and Vienna</w:t>
      </w:r>
      <w:r w:rsidRPr="008F48A8">
        <w:rPr>
          <w:rFonts w:ascii="Arial" w:hAnsi="Arial" w:cs="Arial"/>
          <w:sz w:val="16"/>
          <w:szCs w:val="16"/>
          <w:lang w:val="en-GB"/>
        </w:rPr>
        <w:t>. The CEE Stock Exchange Group is the largest stock exchange group in the region CEESEG simplifies access to markets and trading with the aim to increase liquidity on the local exchanges. The CEESEG stock exchanges cooperate with 12 stock exchanges in Central and Eastern Europe and are recognized throughout the world for this unique expertise.</w:t>
      </w:r>
    </w:p>
    <w:p w:rsidR="00C3757E" w:rsidRPr="00F063DE" w:rsidRDefault="00C3757E" w:rsidP="0072621B">
      <w:pPr>
        <w:tabs>
          <w:tab w:val="left" w:pos="1620"/>
        </w:tabs>
        <w:spacing w:line="280" w:lineRule="atLeast"/>
        <w:ind w:right="561"/>
        <w:rPr>
          <w:rFonts w:ascii="Arial" w:hAnsi="Arial" w:cs="Arial"/>
          <w:sz w:val="20"/>
          <w:szCs w:val="20"/>
          <w:lang w:val="en-GB"/>
        </w:rPr>
      </w:pPr>
    </w:p>
    <w:p w:rsidR="00C3757E" w:rsidRPr="00F063DE" w:rsidRDefault="00C3757E" w:rsidP="00F74223">
      <w:pPr>
        <w:tabs>
          <w:tab w:val="left" w:pos="1620"/>
        </w:tabs>
        <w:spacing w:line="280" w:lineRule="atLeast"/>
        <w:ind w:right="561"/>
        <w:rPr>
          <w:rFonts w:ascii="Arial" w:hAnsi="Arial" w:cs="Arial"/>
          <w:sz w:val="20"/>
          <w:szCs w:val="20"/>
          <w:lang w:val="en-GB"/>
        </w:rPr>
      </w:pPr>
    </w:p>
    <w:sectPr w:rsidR="00C3757E" w:rsidRPr="00F063DE" w:rsidSect="00F74223">
      <w:headerReference w:type="default" r:id="rId10"/>
      <w:footerReference w:type="default" r:id="rId11"/>
      <w:pgSz w:w="11906" w:h="16838"/>
      <w:pgMar w:top="2268" w:right="567" w:bottom="567" w:left="1418" w:header="709" w:footer="709" w:gutter="0"/>
      <w:cols w:space="708" w:equalWidth="0">
        <w:col w:w="992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BCB" w:rsidRDefault="001C1BCB">
      <w:r>
        <w:separator/>
      </w:r>
    </w:p>
  </w:endnote>
  <w:endnote w:type="continuationSeparator" w:id="0">
    <w:p w:rsidR="001C1BCB" w:rsidRDefault="001C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7E" w:rsidRPr="00522C1E" w:rsidRDefault="00C53AD4" w:rsidP="00522C1E">
    <w:pPr>
      <w:pStyle w:val="Footer"/>
      <w:rPr>
        <w:rFonts w:ascii="Arial" w:hAnsi="Arial" w:cs="Arial"/>
        <w:sz w:val="15"/>
      </w:rPr>
    </w:pPr>
    <w:r>
      <w:rPr>
        <w:noProof/>
        <w:lang w:val="en-US" w:eastAsia="zh-CN"/>
      </w:rPr>
      <w:drawing>
        <wp:anchor distT="0" distB="0" distL="114300" distR="114300" simplePos="0" relativeHeight="251657728" behindDoc="0" locked="0" layoutInCell="1" allowOverlap="1">
          <wp:simplePos x="0" y="0"/>
          <wp:positionH relativeFrom="column">
            <wp:posOffset>4637405</wp:posOffset>
          </wp:positionH>
          <wp:positionV relativeFrom="paragraph">
            <wp:posOffset>-11430</wp:posOffset>
          </wp:positionV>
          <wp:extent cx="1485900" cy="534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1798" t="40500" r="11798" b="40500"/>
                  <a:stretch>
                    <a:fillRect/>
                  </a:stretch>
                </pic:blipFill>
                <pic:spPr bwMode="auto">
                  <a:xfrm>
                    <a:off x="0" y="0"/>
                    <a:ext cx="1485900" cy="534670"/>
                  </a:xfrm>
                  <a:prstGeom prst="rect">
                    <a:avLst/>
                  </a:prstGeom>
                  <a:noFill/>
                </pic:spPr>
              </pic:pic>
            </a:graphicData>
          </a:graphic>
          <wp14:sizeRelH relativeFrom="page">
            <wp14:pctWidth>0</wp14:pctWidth>
          </wp14:sizeRelH>
          <wp14:sizeRelV relativeFrom="page">
            <wp14:pctHeight>0</wp14:pctHeight>
          </wp14:sizeRelV>
        </wp:anchor>
      </w:drawing>
    </w:r>
    <w:r w:rsidR="00C3757E" w:rsidRPr="00522C1E">
      <w:rPr>
        <w:rFonts w:ascii="Arial" w:hAnsi="Arial" w:cs="Arial"/>
        <w:sz w:val="15"/>
      </w:rPr>
      <w:t>Ljubljanska borza, d. d., Ljubljana, Slovenska cesta 56, 1000 Ljubljana</w:t>
    </w:r>
  </w:p>
  <w:p w:rsidR="00C3757E" w:rsidRPr="00522C1E" w:rsidRDefault="00C3757E" w:rsidP="00522C1E">
    <w:pPr>
      <w:pStyle w:val="Footer"/>
      <w:rPr>
        <w:rFonts w:ascii="Arial" w:hAnsi="Arial" w:cs="Arial"/>
        <w:sz w:val="12"/>
        <w:szCs w:val="12"/>
      </w:rPr>
    </w:pPr>
    <w:r w:rsidRPr="00522C1E">
      <w:rPr>
        <w:rFonts w:ascii="Arial" w:hAnsi="Arial" w:cs="Arial"/>
        <w:sz w:val="15"/>
        <w:szCs w:val="15"/>
      </w:rPr>
      <w:t xml:space="preserve">T (01) 471 </w:t>
    </w:r>
    <w:smartTag w:uri="urn:schemas-microsoft-com:office:smarttags" w:element="metricconverter">
      <w:smartTagPr>
        <w:attr w:name="ProductID" w:val="0211, F"/>
      </w:smartTagPr>
      <w:r w:rsidRPr="00522C1E">
        <w:rPr>
          <w:rFonts w:ascii="Arial" w:hAnsi="Arial" w:cs="Arial"/>
          <w:sz w:val="15"/>
          <w:szCs w:val="15"/>
        </w:rPr>
        <w:t>0211, F</w:t>
      </w:r>
    </w:smartTag>
    <w:r w:rsidRPr="00522C1E">
      <w:rPr>
        <w:rFonts w:ascii="Arial" w:hAnsi="Arial" w:cs="Arial"/>
        <w:sz w:val="15"/>
        <w:szCs w:val="15"/>
      </w:rPr>
      <w:t xml:space="preserve"> (01) 471 0213, E info@ljse.si, http://www.ljse.si</w:t>
    </w:r>
  </w:p>
  <w:p w:rsidR="00C3757E" w:rsidRPr="00522C1E" w:rsidRDefault="00C3757E" w:rsidP="00522C1E">
    <w:pPr>
      <w:pStyle w:val="Footer"/>
      <w:rPr>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BCB" w:rsidRDefault="001C1BCB">
      <w:r>
        <w:separator/>
      </w:r>
    </w:p>
  </w:footnote>
  <w:footnote w:type="continuationSeparator" w:id="0">
    <w:p w:rsidR="001C1BCB" w:rsidRDefault="001C1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7E" w:rsidRPr="00721326" w:rsidRDefault="00C53AD4" w:rsidP="00F74223">
    <w:pPr>
      <w:pStyle w:val="Header"/>
      <w:spacing w:line="240" w:lineRule="atLeast"/>
      <w:ind w:right="153"/>
      <w:rPr>
        <w:rFonts w:ascii="Arial" w:hAnsi="Arial"/>
        <w:b/>
        <w:sz w:val="20"/>
        <w:szCs w:val="20"/>
        <w:lang w:val="en-GB"/>
      </w:rPr>
    </w:pPr>
    <w:r>
      <w:rPr>
        <w:noProof/>
        <w:lang w:val="en-US" w:eastAsia="zh-CN"/>
      </w:rPr>
      <w:drawing>
        <wp:anchor distT="0" distB="0" distL="114300" distR="114300" simplePos="0" relativeHeight="251658752" behindDoc="0" locked="0" layoutInCell="1" allowOverlap="1">
          <wp:simplePos x="0" y="0"/>
          <wp:positionH relativeFrom="column">
            <wp:posOffset>4889500</wp:posOffset>
          </wp:positionH>
          <wp:positionV relativeFrom="paragraph">
            <wp:posOffset>24765</wp:posOffset>
          </wp:positionV>
          <wp:extent cx="965200" cy="685800"/>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pic:spPr>
              </pic:pic>
            </a:graphicData>
          </a:graphic>
          <wp14:sizeRelH relativeFrom="page">
            <wp14:pctWidth>0</wp14:pctWidth>
          </wp14:sizeRelH>
          <wp14:sizeRelV relativeFrom="page">
            <wp14:pctHeight>0</wp14:pctHeight>
          </wp14:sizeRelV>
        </wp:anchor>
      </w:drawing>
    </w:r>
  </w:p>
  <w:p w:rsidR="00A30060" w:rsidRDefault="00F063DE" w:rsidP="00F74223">
    <w:pPr>
      <w:pStyle w:val="Header"/>
      <w:spacing w:line="280" w:lineRule="atLeast"/>
      <w:ind w:right="153"/>
      <w:rPr>
        <w:rFonts w:ascii="Arial" w:hAnsi="Arial"/>
        <w:b/>
        <w:color w:val="D10019"/>
        <w:sz w:val="40"/>
        <w:szCs w:val="40"/>
        <w:lang w:val="en-GB"/>
      </w:rPr>
    </w:pPr>
    <w:r>
      <w:rPr>
        <w:rFonts w:ascii="Arial" w:hAnsi="Arial"/>
        <w:b/>
        <w:color w:val="D10019"/>
        <w:sz w:val="40"/>
        <w:szCs w:val="40"/>
        <w:lang w:val="en-GB"/>
      </w:rPr>
      <w:t xml:space="preserve">Slovene </w:t>
    </w:r>
    <w:r w:rsidR="008467BA">
      <w:rPr>
        <w:rFonts w:ascii="Arial" w:hAnsi="Arial"/>
        <w:b/>
        <w:color w:val="D10019"/>
        <w:sz w:val="40"/>
        <w:szCs w:val="40"/>
        <w:lang w:val="en-GB"/>
      </w:rPr>
      <w:t>Equities</w:t>
    </w:r>
    <w:r w:rsidR="00F23741">
      <w:rPr>
        <w:rFonts w:ascii="Arial" w:hAnsi="Arial"/>
        <w:b/>
        <w:color w:val="D10019"/>
        <w:sz w:val="40"/>
        <w:szCs w:val="40"/>
        <w:lang w:val="en-GB"/>
      </w:rPr>
      <w:t xml:space="preserve"> </w:t>
    </w:r>
    <w:r w:rsidR="008467BA">
      <w:rPr>
        <w:rFonts w:ascii="Arial" w:hAnsi="Arial"/>
        <w:b/>
        <w:color w:val="D10019"/>
        <w:sz w:val="40"/>
        <w:szCs w:val="40"/>
        <w:lang w:val="en-GB"/>
      </w:rPr>
      <w:t>A</w:t>
    </w:r>
    <w:r w:rsidR="00F23741">
      <w:rPr>
        <w:rFonts w:ascii="Arial" w:hAnsi="Arial"/>
        <w:b/>
        <w:color w:val="D10019"/>
        <w:sz w:val="40"/>
        <w:szCs w:val="40"/>
        <w:lang w:val="en-GB"/>
      </w:rPr>
      <w:t xml:space="preserve">ttractive to </w:t>
    </w:r>
  </w:p>
  <w:p w:rsidR="00E93958" w:rsidRPr="002E23AC" w:rsidRDefault="00F23741" w:rsidP="00F74223">
    <w:pPr>
      <w:pStyle w:val="Header"/>
      <w:spacing w:line="280" w:lineRule="atLeast"/>
      <w:ind w:right="153"/>
      <w:rPr>
        <w:rFonts w:ascii="Arial" w:hAnsi="Arial"/>
        <w:b/>
        <w:color w:val="D10019"/>
        <w:sz w:val="40"/>
        <w:szCs w:val="40"/>
        <w:lang w:val="en-GB"/>
      </w:rPr>
    </w:pPr>
    <w:r>
      <w:rPr>
        <w:rFonts w:ascii="Arial" w:hAnsi="Arial"/>
        <w:b/>
        <w:color w:val="D10019"/>
        <w:sz w:val="40"/>
        <w:szCs w:val="40"/>
        <w:lang w:val="en-GB"/>
      </w:rPr>
      <w:t>International Inves</w:t>
    </w:r>
    <w:r w:rsidR="00A30060">
      <w:rPr>
        <w:rFonts w:ascii="Arial" w:hAnsi="Arial"/>
        <w:b/>
        <w:color w:val="D10019"/>
        <w:sz w:val="40"/>
        <w:szCs w:val="40"/>
        <w:lang w:val="en-GB"/>
      </w:rPr>
      <w:t>tors</w:t>
    </w:r>
  </w:p>
  <w:p w:rsidR="00E93958" w:rsidRDefault="00E93958">
    <w:r>
      <w:rPr>
        <w:noProof/>
        <w:lang w:val="en-US" w:eastAsia="zh-CN"/>
      </w:rPr>
      <mc:AlternateContent>
        <mc:Choice Requires="wps">
          <w:drawing>
            <wp:anchor distT="0" distB="0" distL="114300" distR="114300" simplePos="0" relativeHeight="251656704" behindDoc="0" locked="0" layoutInCell="1" allowOverlap="1" wp14:anchorId="7E7FBFA1" wp14:editId="05E77AEE">
              <wp:simplePos x="0" y="0"/>
              <wp:positionH relativeFrom="column">
                <wp:posOffset>-635</wp:posOffset>
              </wp:positionH>
              <wp:positionV relativeFrom="paragraph">
                <wp:posOffset>59690</wp:posOffset>
              </wp:positionV>
              <wp:extent cx="6163310" cy="635"/>
              <wp:effectExtent l="0" t="0" r="27940" b="18415"/>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3310" cy="635"/>
                      </a:xfrm>
                      <a:custGeom>
                        <a:avLst/>
                        <a:gdLst>
                          <a:gd name="T0" fmla="*/ 0 w 9817"/>
                          <a:gd name="T1" fmla="*/ 0 h 1"/>
                          <a:gd name="T2" fmla="*/ 9817 w 9817"/>
                          <a:gd name="T3" fmla="*/ 0 h 1"/>
                        </a:gdLst>
                        <a:ahLst/>
                        <a:cxnLst>
                          <a:cxn ang="0">
                            <a:pos x="T0" y="T1"/>
                          </a:cxn>
                          <a:cxn ang="0">
                            <a:pos x="T2" y="T3"/>
                          </a:cxn>
                        </a:cxnLst>
                        <a:rect l="0" t="0" r="r" b="b"/>
                        <a:pathLst>
                          <a:path w="9817" h="1">
                            <a:moveTo>
                              <a:pt x="0" y="0"/>
                            </a:moveTo>
                            <a:lnTo>
                              <a:pt x="9817" y="0"/>
                            </a:lnTo>
                          </a:path>
                        </a:pathLst>
                      </a:custGeom>
                      <a:noFill/>
                      <a:ln w="9525">
                        <a:solidFill>
                          <a:srgbClr val="D1001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05pt;margin-top:4.7pt;width:485.3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" path="m,l9817,e" filled="f" strokecolor="#d10019">
              <v:path arrowok="t" o:connecttype="custom" o:connectlocs="0,0;6163310,0" o:connectangles="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7DED"/>
    <w:multiLevelType w:val="hybridMultilevel"/>
    <w:tmpl w:val="634A6F98"/>
    <w:lvl w:ilvl="0" w:tplc="207694DC">
      <w:start w:val="1"/>
      <w:numFmt w:val="bullet"/>
      <w:lvlText w:val=""/>
      <w:lvlJc w:val="left"/>
      <w:pPr>
        <w:tabs>
          <w:tab w:val="num" w:pos="786"/>
        </w:tabs>
        <w:ind w:left="786"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66476C"/>
    <w:multiLevelType w:val="hybridMultilevel"/>
    <w:tmpl w:val="D8C489A2"/>
    <w:lvl w:ilvl="0" w:tplc="FFB8D714">
      <w:start w:val="1"/>
      <w:numFmt w:val="bullet"/>
      <w:lvlText w:val=""/>
      <w:lvlJc w:val="left"/>
      <w:pPr>
        <w:tabs>
          <w:tab w:val="num" w:pos="360"/>
        </w:tabs>
        <w:ind w:left="360" w:hanging="360"/>
      </w:pPr>
      <w:rPr>
        <w:rFonts w:ascii="Wingdings" w:hAnsi="Wingdings" w:hint="default"/>
        <w:b w:val="0"/>
        <w:i w:val="0"/>
        <w:color w:val="999999"/>
        <w:u w:color="999999"/>
      </w:rPr>
    </w:lvl>
    <w:lvl w:ilvl="1" w:tplc="0C070003" w:tentative="1">
      <w:start w:val="1"/>
      <w:numFmt w:val="bullet"/>
      <w:lvlText w:val="o"/>
      <w:lvlJc w:val="left"/>
      <w:pPr>
        <w:tabs>
          <w:tab w:val="num" w:pos="1080"/>
        </w:tabs>
        <w:ind w:left="1080" w:hanging="360"/>
      </w:pPr>
      <w:rPr>
        <w:rFonts w:ascii="Courier New" w:hAnsi="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21904591"/>
    <w:multiLevelType w:val="hybridMultilevel"/>
    <w:tmpl w:val="08C48954"/>
    <w:lvl w:ilvl="0" w:tplc="FFB8D714">
      <w:start w:val="1"/>
      <w:numFmt w:val="bullet"/>
      <w:lvlText w:val=""/>
      <w:lvlJc w:val="left"/>
      <w:pPr>
        <w:tabs>
          <w:tab w:val="num" w:pos="360"/>
        </w:tabs>
        <w:ind w:left="360" w:hanging="360"/>
      </w:pPr>
      <w:rPr>
        <w:rFonts w:ascii="Wingdings" w:hAnsi="Wingdings" w:hint="default"/>
        <w:b w:val="0"/>
        <w:i w:val="0"/>
        <w:color w:val="999999"/>
        <w:u w:color="999999"/>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nsid w:val="3C777457"/>
    <w:multiLevelType w:val="hybridMultilevel"/>
    <w:tmpl w:val="21D8B638"/>
    <w:lvl w:ilvl="0" w:tplc="8D128F44">
      <w:numFmt w:val="bullet"/>
      <w:lvlText w:val=""/>
      <w:lvlJc w:val="left"/>
      <w:pPr>
        <w:tabs>
          <w:tab w:val="num" w:pos="360"/>
        </w:tabs>
        <w:ind w:left="360" w:hanging="360"/>
      </w:pPr>
      <w:rPr>
        <w:rFonts w:ascii="Wingdings" w:eastAsia="Times New Roman" w:hAnsi="Wingdings" w:hint="default"/>
      </w:rPr>
    </w:lvl>
    <w:lvl w:ilvl="1" w:tplc="0C070003" w:tentative="1">
      <w:start w:val="1"/>
      <w:numFmt w:val="bullet"/>
      <w:lvlText w:val="o"/>
      <w:lvlJc w:val="left"/>
      <w:pPr>
        <w:tabs>
          <w:tab w:val="num" w:pos="1080"/>
        </w:tabs>
        <w:ind w:left="1080" w:hanging="360"/>
      </w:pPr>
      <w:rPr>
        <w:rFonts w:ascii="Courier New" w:hAnsi="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4">
    <w:nsid w:val="46E63AA2"/>
    <w:multiLevelType w:val="hybridMultilevel"/>
    <w:tmpl w:val="2006D444"/>
    <w:lvl w:ilvl="0" w:tplc="FFB8D714">
      <w:start w:val="1"/>
      <w:numFmt w:val="bullet"/>
      <w:lvlText w:val=""/>
      <w:lvlJc w:val="left"/>
      <w:pPr>
        <w:tabs>
          <w:tab w:val="num" w:pos="360"/>
        </w:tabs>
        <w:ind w:left="360" w:hanging="360"/>
      </w:pPr>
      <w:rPr>
        <w:rFonts w:ascii="Wingdings" w:hAnsi="Wingdings" w:hint="default"/>
        <w:b w:val="0"/>
        <w:i w:val="0"/>
        <w:caps w:val="0"/>
        <w:strike w:val="0"/>
        <w:dstrike w:val="0"/>
        <w:vanish w:val="0"/>
        <w:color w:val="999999"/>
        <w:sz w:val="20"/>
        <w:u w:color="999999"/>
        <w:vertAlign w:val="baseline"/>
        <w14:shadow w14:blurRad="0" w14:dist="0" w14:dir="0" w14:sx="0" w14:sy="0" w14:kx="0" w14:ky="0" w14:algn="none">
          <w14:srgbClr w14:val="000000"/>
        </w14:shadow>
        <w14:textOutline w14:w="0" w14:cap="rnd" w14:cmpd="sng" w14:algn="ctr">
          <w14:noFill/>
          <w14:prstDash w14:val="solid"/>
          <w14:bevel/>
        </w14:textOutline>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nsid w:val="4EF96C80"/>
    <w:multiLevelType w:val="hybridMultilevel"/>
    <w:tmpl w:val="D09A435C"/>
    <w:lvl w:ilvl="0" w:tplc="35B6119C">
      <w:start w:val="1"/>
      <w:numFmt w:val="bullet"/>
      <w:lvlText w:val=""/>
      <w:lvlJc w:val="left"/>
      <w:pPr>
        <w:tabs>
          <w:tab w:val="num" w:pos="357"/>
        </w:tabs>
        <w:ind w:left="357" w:hanging="357"/>
      </w:pPr>
      <w:rPr>
        <w:rFonts w:ascii="Wingdings" w:hAnsi="Wingdings" w:hint="default"/>
        <w:b w:val="0"/>
        <w:i w:val="0"/>
        <w:caps w:val="0"/>
        <w:strike w:val="0"/>
        <w:dstrike w:val="0"/>
        <w:vanish w:val="0"/>
        <w:color w:val="D10019"/>
        <w:sz w:val="20"/>
        <w:u w:color="999999"/>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7EB67EE"/>
    <w:multiLevelType w:val="hybridMultilevel"/>
    <w:tmpl w:val="D236075E"/>
    <w:lvl w:ilvl="0" w:tplc="736A4558">
      <w:start w:val="1"/>
      <w:numFmt w:val="bullet"/>
      <w:lvlText w:val=""/>
      <w:lvlJc w:val="left"/>
      <w:pPr>
        <w:tabs>
          <w:tab w:val="num" w:pos="360"/>
        </w:tabs>
        <w:ind w:left="360" w:hanging="360"/>
      </w:pPr>
      <w:rPr>
        <w:rFonts w:ascii="Wingdings" w:hAnsi="Wingdings" w:hint="default"/>
        <w:b w:val="0"/>
        <w:i w:val="0"/>
        <w:caps w:val="0"/>
        <w:strike w:val="0"/>
        <w:dstrike w:val="0"/>
        <w:vanish w:val="0"/>
        <w:color w:val="auto"/>
        <w:sz w:val="20"/>
        <w:u w:color="999999"/>
        <w:vertAlign w:val="baseline"/>
        <w14:shadow w14:blurRad="0" w14:dist="0" w14:dir="0" w14:sx="0" w14:sy="0" w14:kx="0" w14:ky="0" w14:algn="none">
          <w14:srgbClr w14:val="000000"/>
        </w14:shadow>
        <w14:textOutline w14:w="0" w14:cap="rnd" w14:cmpd="sng" w14:algn="ctr">
          <w14:noFill/>
          <w14:prstDash w14:val="solid"/>
          <w14:bevel/>
        </w14:textOutline>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nsid w:val="693D28F8"/>
    <w:multiLevelType w:val="hybridMultilevel"/>
    <w:tmpl w:val="7A1C0FF8"/>
    <w:lvl w:ilvl="0" w:tplc="494A108E">
      <w:start w:val="1"/>
      <w:numFmt w:val="bullet"/>
      <w:lvlText w:val=""/>
      <w:lvlJc w:val="left"/>
      <w:pPr>
        <w:tabs>
          <w:tab w:val="num" w:pos="357"/>
        </w:tabs>
        <w:ind w:left="357" w:hanging="357"/>
      </w:pPr>
      <w:rPr>
        <w:rFonts w:ascii="Wingdings" w:hAnsi="Wingdings" w:hint="default"/>
        <w:b w:val="0"/>
        <w:i w:val="0"/>
        <w:caps w:val="0"/>
        <w:strike w:val="0"/>
        <w:dstrike w:val="0"/>
        <w:outline w:val="0"/>
        <w:shadow w:val="0"/>
        <w:emboss w:val="0"/>
        <w:imprint w:val="0"/>
        <w:vanish w:val="0"/>
        <w:color w:val="CD0005"/>
        <w:sz w:val="20"/>
        <w:szCs w:val="20"/>
        <w:u w:val="none" w:color="999999"/>
        <w:effect w:val="none"/>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A574C48"/>
    <w:multiLevelType w:val="multilevel"/>
    <w:tmpl w:val="21D8B638"/>
    <w:lvl w:ilvl="0">
      <w:numFmt w:val="bullet"/>
      <w:lvlText w:val=""/>
      <w:lvlJc w:val="left"/>
      <w:pPr>
        <w:tabs>
          <w:tab w:val="num" w:pos="360"/>
        </w:tabs>
        <w:ind w:left="360" w:hanging="360"/>
      </w:pPr>
      <w:rPr>
        <w:rFonts w:ascii="Wingdings" w:eastAsia="Times New Roman"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6EE76761"/>
    <w:multiLevelType w:val="multilevel"/>
    <w:tmpl w:val="D236075E"/>
    <w:lvl w:ilvl="0">
      <w:start w:val="1"/>
      <w:numFmt w:val="bullet"/>
      <w:lvlText w:val=""/>
      <w:lvlJc w:val="left"/>
      <w:pPr>
        <w:tabs>
          <w:tab w:val="num" w:pos="360"/>
        </w:tabs>
        <w:ind w:left="360" w:hanging="360"/>
      </w:pPr>
      <w:rPr>
        <w:rFonts w:ascii="Wingdings" w:hAnsi="Wingdings" w:hint="default"/>
        <w:b w:val="0"/>
        <w:i w:val="0"/>
        <w:caps w:val="0"/>
        <w:strike w:val="0"/>
        <w:dstrike w:val="0"/>
        <w:vanish w:val="0"/>
        <w:color w:val="auto"/>
        <w:sz w:val="20"/>
        <w:u w:color="99999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74138BB"/>
    <w:multiLevelType w:val="hybridMultilevel"/>
    <w:tmpl w:val="AE684856"/>
    <w:lvl w:ilvl="0" w:tplc="8D128F44">
      <w:numFmt w:val="bullet"/>
      <w:lvlText w:val=""/>
      <w:lvlJc w:val="left"/>
      <w:pPr>
        <w:tabs>
          <w:tab w:val="num" w:pos="720"/>
        </w:tabs>
        <w:ind w:left="720" w:hanging="360"/>
      </w:pPr>
      <w:rPr>
        <w:rFonts w:ascii="Wingdings" w:eastAsia="Times New Roman"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1">
    <w:nsid w:val="7A1013B6"/>
    <w:multiLevelType w:val="hybridMultilevel"/>
    <w:tmpl w:val="A7F021E0"/>
    <w:lvl w:ilvl="0" w:tplc="9DE27228">
      <w:start w:val="1"/>
      <w:numFmt w:val="bullet"/>
      <w:lvlText w:val=""/>
      <w:lvlJc w:val="left"/>
      <w:pPr>
        <w:ind w:left="720" w:hanging="360"/>
      </w:pPr>
      <w:rPr>
        <w:rFonts w:ascii="Wingdings" w:hAnsi="Wingdings" w:hint="default"/>
        <w:b w:val="0"/>
        <w:i w:val="0"/>
        <w:caps w:val="0"/>
        <w:strike w:val="0"/>
        <w:dstrike w:val="0"/>
        <w:vanish w:val="0"/>
        <w:color w:val="D10019"/>
        <w:sz w:val="20"/>
        <w:u w:color="999999"/>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BB0576B"/>
    <w:multiLevelType w:val="hybridMultilevel"/>
    <w:tmpl w:val="EEB88B88"/>
    <w:lvl w:ilvl="0" w:tplc="46848912">
      <w:start w:val="1"/>
      <w:numFmt w:val="bullet"/>
      <w:lvlText w:val=""/>
      <w:lvlJc w:val="left"/>
      <w:pPr>
        <w:tabs>
          <w:tab w:val="num" w:pos="720"/>
        </w:tabs>
        <w:ind w:left="720" w:hanging="360"/>
      </w:pPr>
      <w:rPr>
        <w:rFonts w:ascii="Marlett" w:hAnsi="Marlett" w:hint="default"/>
        <w:color w:val="auto"/>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nsid w:val="7F0948D1"/>
    <w:multiLevelType w:val="hybridMultilevel"/>
    <w:tmpl w:val="99CA84F2"/>
    <w:lvl w:ilvl="0" w:tplc="8368D6F8">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0"/>
  </w:num>
  <w:num w:numId="3">
    <w:abstractNumId w:val="3"/>
  </w:num>
  <w:num w:numId="4">
    <w:abstractNumId w:val="8"/>
  </w:num>
  <w:num w:numId="5">
    <w:abstractNumId w:val="1"/>
  </w:num>
  <w:num w:numId="6">
    <w:abstractNumId w:val="6"/>
  </w:num>
  <w:num w:numId="7">
    <w:abstractNumId w:val="13"/>
  </w:num>
  <w:num w:numId="8">
    <w:abstractNumId w:val="9"/>
  </w:num>
  <w:num w:numId="9">
    <w:abstractNumId w:val="4"/>
  </w:num>
  <w:num w:numId="10">
    <w:abstractNumId w:val="12"/>
  </w:num>
  <w:num w:numId="11">
    <w:abstractNumId w:val="0"/>
  </w:num>
  <w:num w:numId="12">
    <w:abstractNumId w:val="7"/>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338"/>
    <w:rsid w:val="00016204"/>
    <w:rsid w:val="00033D2D"/>
    <w:rsid w:val="00034932"/>
    <w:rsid w:val="000630A8"/>
    <w:rsid w:val="0007196A"/>
    <w:rsid w:val="00093CD8"/>
    <w:rsid w:val="00096E98"/>
    <w:rsid w:val="000A6333"/>
    <w:rsid w:val="000A66FC"/>
    <w:rsid w:val="000D7BD4"/>
    <w:rsid w:val="000F7E09"/>
    <w:rsid w:val="001301F3"/>
    <w:rsid w:val="00132AA3"/>
    <w:rsid w:val="00142CB8"/>
    <w:rsid w:val="00162500"/>
    <w:rsid w:val="00192033"/>
    <w:rsid w:val="001A49C4"/>
    <w:rsid w:val="001A732C"/>
    <w:rsid w:val="001B0A2A"/>
    <w:rsid w:val="001B7FB3"/>
    <w:rsid w:val="001C1BCB"/>
    <w:rsid w:val="001D5C7F"/>
    <w:rsid w:val="00210867"/>
    <w:rsid w:val="00231255"/>
    <w:rsid w:val="002435C3"/>
    <w:rsid w:val="00244B20"/>
    <w:rsid w:val="00253307"/>
    <w:rsid w:val="00260FA5"/>
    <w:rsid w:val="00296F21"/>
    <w:rsid w:val="0029717F"/>
    <w:rsid w:val="002B49F2"/>
    <w:rsid w:val="002E1218"/>
    <w:rsid w:val="002E13F8"/>
    <w:rsid w:val="002E23AC"/>
    <w:rsid w:val="00332F00"/>
    <w:rsid w:val="00334917"/>
    <w:rsid w:val="003618EC"/>
    <w:rsid w:val="00377EA0"/>
    <w:rsid w:val="003A28F0"/>
    <w:rsid w:val="003B1742"/>
    <w:rsid w:val="003F7B8F"/>
    <w:rsid w:val="0040292E"/>
    <w:rsid w:val="00411B74"/>
    <w:rsid w:val="00415BA7"/>
    <w:rsid w:val="00472AA9"/>
    <w:rsid w:val="004771D2"/>
    <w:rsid w:val="00477668"/>
    <w:rsid w:val="0048187D"/>
    <w:rsid w:val="004E0168"/>
    <w:rsid w:val="004F071F"/>
    <w:rsid w:val="0050681E"/>
    <w:rsid w:val="00512201"/>
    <w:rsid w:val="00522C1E"/>
    <w:rsid w:val="00544BD3"/>
    <w:rsid w:val="005476E6"/>
    <w:rsid w:val="00556C81"/>
    <w:rsid w:val="005B3E6D"/>
    <w:rsid w:val="005B4A1B"/>
    <w:rsid w:val="005C60E9"/>
    <w:rsid w:val="005E28A2"/>
    <w:rsid w:val="005E6CC8"/>
    <w:rsid w:val="00633090"/>
    <w:rsid w:val="00634ABA"/>
    <w:rsid w:val="00647E2F"/>
    <w:rsid w:val="00662D01"/>
    <w:rsid w:val="006721EB"/>
    <w:rsid w:val="0068581B"/>
    <w:rsid w:val="00686E8D"/>
    <w:rsid w:val="006F0A26"/>
    <w:rsid w:val="007163FF"/>
    <w:rsid w:val="00721326"/>
    <w:rsid w:val="0072621B"/>
    <w:rsid w:val="00747E1A"/>
    <w:rsid w:val="00766247"/>
    <w:rsid w:val="007E66CD"/>
    <w:rsid w:val="007F68A4"/>
    <w:rsid w:val="00817E3C"/>
    <w:rsid w:val="00834C9B"/>
    <w:rsid w:val="00834EC6"/>
    <w:rsid w:val="008373A6"/>
    <w:rsid w:val="00845A03"/>
    <w:rsid w:val="008467BA"/>
    <w:rsid w:val="00871B83"/>
    <w:rsid w:val="00890BCC"/>
    <w:rsid w:val="008A79DF"/>
    <w:rsid w:val="008B1467"/>
    <w:rsid w:val="008D39ED"/>
    <w:rsid w:val="008E6037"/>
    <w:rsid w:val="008F0A0B"/>
    <w:rsid w:val="008F6093"/>
    <w:rsid w:val="00906A22"/>
    <w:rsid w:val="009116AE"/>
    <w:rsid w:val="009318B6"/>
    <w:rsid w:val="009318D0"/>
    <w:rsid w:val="0094078B"/>
    <w:rsid w:val="00944AD3"/>
    <w:rsid w:val="00950642"/>
    <w:rsid w:val="00951B5A"/>
    <w:rsid w:val="009554CB"/>
    <w:rsid w:val="0097018A"/>
    <w:rsid w:val="00980523"/>
    <w:rsid w:val="009A20A2"/>
    <w:rsid w:val="009B5E51"/>
    <w:rsid w:val="009C0FDD"/>
    <w:rsid w:val="009C6633"/>
    <w:rsid w:val="009C6A5E"/>
    <w:rsid w:val="009E36E5"/>
    <w:rsid w:val="009F4488"/>
    <w:rsid w:val="009F4EB3"/>
    <w:rsid w:val="00A11AB4"/>
    <w:rsid w:val="00A30060"/>
    <w:rsid w:val="00A47FA5"/>
    <w:rsid w:val="00A668A9"/>
    <w:rsid w:val="00A7091B"/>
    <w:rsid w:val="00A76367"/>
    <w:rsid w:val="00A84EAD"/>
    <w:rsid w:val="00A94ADD"/>
    <w:rsid w:val="00AA7F5D"/>
    <w:rsid w:val="00AE300B"/>
    <w:rsid w:val="00AE32AC"/>
    <w:rsid w:val="00B12427"/>
    <w:rsid w:val="00B44B51"/>
    <w:rsid w:val="00B5354A"/>
    <w:rsid w:val="00B85A8C"/>
    <w:rsid w:val="00B868EB"/>
    <w:rsid w:val="00B93BE2"/>
    <w:rsid w:val="00BE12ED"/>
    <w:rsid w:val="00BE5181"/>
    <w:rsid w:val="00BF65AC"/>
    <w:rsid w:val="00C104A4"/>
    <w:rsid w:val="00C3757E"/>
    <w:rsid w:val="00C53AD4"/>
    <w:rsid w:val="00C630B8"/>
    <w:rsid w:val="00C77805"/>
    <w:rsid w:val="00C83639"/>
    <w:rsid w:val="00C93483"/>
    <w:rsid w:val="00C94153"/>
    <w:rsid w:val="00CA7E10"/>
    <w:rsid w:val="00CB487B"/>
    <w:rsid w:val="00CE2BA2"/>
    <w:rsid w:val="00D003FE"/>
    <w:rsid w:val="00D01428"/>
    <w:rsid w:val="00D24878"/>
    <w:rsid w:val="00D2609A"/>
    <w:rsid w:val="00D758A6"/>
    <w:rsid w:val="00E05D8A"/>
    <w:rsid w:val="00E1067D"/>
    <w:rsid w:val="00E45288"/>
    <w:rsid w:val="00E54DEC"/>
    <w:rsid w:val="00E733F8"/>
    <w:rsid w:val="00E810CC"/>
    <w:rsid w:val="00E814F9"/>
    <w:rsid w:val="00E93958"/>
    <w:rsid w:val="00EB53A7"/>
    <w:rsid w:val="00EE572E"/>
    <w:rsid w:val="00EF0976"/>
    <w:rsid w:val="00F063DE"/>
    <w:rsid w:val="00F139A3"/>
    <w:rsid w:val="00F23741"/>
    <w:rsid w:val="00F26C9B"/>
    <w:rsid w:val="00F300D2"/>
    <w:rsid w:val="00F60338"/>
    <w:rsid w:val="00F618B0"/>
    <w:rsid w:val="00F67FE1"/>
    <w:rsid w:val="00F74223"/>
    <w:rsid w:val="00F76BD4"/>
    <w:rsid w:val="00F90E18"/>
    <w:rsid w:val="00F96D41"/>
    <w:rsid w:val="00FD7D8F"/>
    <w:rsid w:val="00FF051D"/>
  </w:rsids>
  <m:mathPr>
    <m:mathFont m:val="Cambria Math"/>
    <m:brkBin m:val="before"/>
    <m:brkBinSub m:val="--"/>
    <m:smallFrac m:val="0"/>
    <m:dispDef/>
    <m:lMargin m:val="0"/>
    <m:rMargin m:val="0"/>
    <m:defJc m:val="centerGroup"/>
    <m:wrapIndent m:val="1440"/>
    <m:intLim m:val="subSup"/>
    <m:naryLim m:val="undOvr"/>
  </m:mathPr>
  <w:themeFontLang w:val="sl-SI"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91B"/>
    <w:rPr>
      <w:sz w:val="24"/>
      <w:szCs w:val="24"/>
      <w:lang w:val="de-AT" w:eastAsia="de-AT"/>
    </w:rPr>
  </w:style>
  <w:style w:type="paragraph" w:styleId="Heading1">
    <w:name w:val="heading 1"/>
    <w:basedOn w:val="Normal"/>
    <w:next w:val="Normal"/>
    <w:link w:val="Heading1Char"/>
    <w:qFormat/>
    <w:rsid w:val="00A7091B"/>
    <w:pPr>
      <w:keepNext/>
      <w:spacing w:after="60" w:line="220" w:lineRule="atLeast"/>
      <w:outlineLvl w:val="0"/>
    </w:pPr>
    <w:rPr>
      <w:rFonts w:ascii="Arial" w:hAnsi="Arial" w:cs="Arial"/>
      <w:b/>
      <w:bCs/>
      <w:color w:val="FF0000"/>
      <w:sz w:val="20"/>
      <w:szCs w:val="20"/>
    </w:rPr>
  </w:style>
  <w:style w:type="paragraph" w:styleId="Heading2">
    <w:name w:val="heading 2"/>
    <w:basedOn w:val="Normal"/>
    <w:next w:val="Normal"/>
    <w:link w:val="Heading2Char"/>
    <w:qFormat/>
    <w:rsid w:val="00A7091B"/>
    <w:pPr>
      <w:keepNext/>
      <w:spacing w:line="220" w:lineRule="atLeast"/>
      <w:jc w:val="both"/>
      <w:outlineLvl w:val="1"/>
    </w:pPr>
    <w:rPr>
      <w:rFonts w:ascii="Arial" w:hAnsi="Arial"/>
      <w:b/>
      <w:color w:val="CF0000"/>
      <w:sz w:val="20"/>
    </w:rPr>
  </w:style>
  <w:style w:type="paragraph" w:styleId="Heading3">
    <w:name w:val="heading 3"/>
    <w:basedOn w:val="Normal"/>
    <w:next w:val="Normal"/>
    <w:link w:val="Heading3Char"/>
    <w:qFormat/>
    <w:rsid w:val="00A7091B"/>
    <w:pPr>
      <w:keepNext/>
      <w:jc w:val="center"/>
      <w:outlineLvl w:val="2"/>
    </w:pPr>
    <w:rPr>
      <w:rFonts w:ascii="Arial" w:hAnsi="Arial"/>
      <w:b/>
      <w:color w:val="CF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116AE"/>
    <w:rPr>
      <w:rFonts w:ascii="Cambria" w:hAnsi="Cambria" w:cs="Times New Roman"/>
      <w:b/>
      <w:bCs/>
      <w:kern w:val="32"/>
      <w:sz w:val="32"/>
      <w:szCs w:val="32"/>
      <w:lang w:val="de-AT" w:eastAsia="de-AT"/>
    </w:rPr>
  </w:style>
  <w:style w:type="character" w:customStyle="1" w:styleId="Heading2Char">
    <w:name w:val="Heading 2 Char"/>
    <w:basedOn w:val="DefaultParagraphFont"/>
    <w:link w:val="Heading2"/>
    <w:semiHidden/>
    <w:locked/>
    <w:rsid w:val="009116AE"/>
    <w:rPr>
      <w:rFonts w:ascii="Cambria" w:hAnsi="Cambria" w:cs="Times New Roman"/>
      <w:b/>
      <w:bCs/>
      <w:i/>
      <w:iCs/>
      <w:sz w:val="28"/>
      <w:szCs w:val="28"/>
      <w:lang w:val="de-AT" w:eastAsia="de-AT"/>
    </w:rPr>
  </w:style>
  <w:style w:type="character" w:customStyle="1" w:styleId="Heading3Char">
    <w:name w:val="Heading 3 Char"/>
    <w:basedOn w:val="DefaultParagraphFont"/>
    <w:link w:val="Heading3"/>
    <w:semiHidden/>
    <w:locked/>
    <w:rsid w:val="009116AE"/>
    <w:rPr>
      <w:rFonts w:ascii="Cambria" w:hAnsi="Cambria" w:cs="Times New Roman"/>
      <w:b/>
      <w:bCs/>
      <w:sz w:val="26"/>
      <w:szCs w:val="26"/>
      <w:lang w:val="de-AT" w:eastAsia="de-AT"/>
    </w:rPr>
  </w:style>
  <w:style w:type="paragraph" w:styleId="Header">
    <w:name w:val="header"/>
    <w:basedOn w:val="Normal"/>
    <w:link w:val="HeaderChar"/>
    <w:rsid w:val="00A7091B"/>
    <w:pPr>
      <w:tabs>
        <w:tab w:val="center" w:pos="4536"/>
        <w:tab w:val="right" w:pos="9072"/>
      </w:tabs>
    </w:pPr>
  </w:style>
  <w:style w:type="character" w:customStyle="1" w:styleId="HeaderChar">
    <w:name w:val="Header Char"/>
    <w:basedOn w:val="DefaultParagraphFont"/>
    <w:link w:val="Header"/>
    <w:semiHidden/>
    <w:locked/>
    <w:rsid w:val="009116AE"/>
    <w:rPr>
      <w:rFonts w:cs="Times New Roman"/>
      <w:sz w:val="24"/>
      <w:szCs w:val="24"/>
      <w:lang w:val="de-AT" w:eastAsia="de-AT"/>
    </w:rPr>
  </w:style>
  <w:style w:type="paragraph" w:styleId="Footer">
    <w:name w:val="footer"/>
    <w:basedOn w:val="Normal"/>
    <w:link w:val="FooterChar"/>
    <w:rsid w:val="00A7091B"/>
    <w:pPr>
      <w:tabs>
        <w:tab w:val="center" w:pos="4536"/>
        <w:tab w:val="right" w:pos="9072"/>
      </w:tabs>
    </w:pPr>
  </w:style>
  <w:style w:type="character" w:customStyle="1" w:styleId="FooterChar">
    <w:name w:val="Footer Char"/>
    <w:basedOn w:val="DefaultParagraphFont"/>
    <w:link w:val="Footer"/>
    <w:semiHidden/>
    <w:locked/>
    <w:rsid w:val="009116AE"/>
    <w:rPr>
      <w:rFonts w:cs="Times New Roman"/>
      <w:sz w:val="24"/>
      <w:szCs w:val="24"/>
      <w:lang w:val="de-AT" w:eastAsia="de-AT"/>
    </w:rPr>
  </w:style>
  <w:style w:type="paragraph" w:styleId="BodyText">
    <w:name w:val="Body Text"/>
    <w:basedOn w:val="Normal"/>
    <w:link w:val="BodyTextChar"/>
    <w:rsid w:val="00A7091B"/>
    <w:pPr>
      <w:jc w:val="both"/>
    </w:pPr>
    <w:rPr>
      <w:rFonts w:ascii="Arial" w:hAnsi="Arial"/>
      <w:color w:val="808080"/>
      <w:sz w:val="17"/>
    </w:rPr>
  </w:style>
  <w:style w:type="character" w:customStyle="1" w:styleId="BodyTextChar">
    <w:name w:val="Body Text Char"/>
    <w:basedOn w:val="DefaultParagraphFont"/>
    <w:link w:val="BodyText"/>
    <w:semiHidden/>
    <w:locked/>
    <w:rsid w:val="009116AE"/>
    <w:rPr>
      <w:rFonts w:cs="Times New Roman"/>
      <w:sz w:val="24"/>
      <w:szCs w:val="24"/>
      <w:lang w:val="de-AT" w:eastAsia="de-AT"/>
    </w:rPr>
  </w:style>
  <w:style w:type="paragraph" w:styleId="BalloonText">
    <w:name w:val="Balloon Text"/>
    <w:basedOn w:val="Normal"/>
    <w:link w:val="BalloonTextChar"/>
    <w:semiHidden/>
    <w:rsid w:val="00A7091B"/>
    <w:rPr>
      <w:rFonts w:ascii="Tahoma" w:hAnsi="Tahoma" w:cs="Tahoma"/>
      <w:sz w:val="16"/>
      <w:szCs w:val="16"/>
    </w:rPr>
  </w:style>
  <w:style w:type="character" w:customStyle="1" w:styleId="BalloonTextChar">
    <w:name w:val="Balloon Text Char"/>
    <w:basedOn w:val="DefaultParagraphFont"/>
    <w:link w:val="BalloonText"/>
    <w:semiHidden/>
    <w:locked/>
    <w:rsid w:val="009116AE"/>
    <w:rPr>
      <w:rFonts w:cs="Times New Roman"/>
      <w:sz w:val="2"/>
      <w:lang w:val="de-AT" w:eastAsia="de-AT"/>
    </w:rPr>
  </w:style>
  <w:style w:type="character" w:styleId="Hyperlink">
    <w:name w:val="Hyperlink"/>
    <w:basedOn w:val="DefaultParagraphFont"/>
    <w:rsid w:val="00A7091B"/>
    <w:rPr>
      <w:rFonts w:cs="Times New Roman"/>
      <w:color w:val="0000FF"/>
      <w:u w:val="single"/>
    </w:rPr>
  </w:style>
  <w:style w:type="paragraph" w:styleId="FootnoteText">
    <w:name w:val="footnote text"/>
    <w:basedOn w:val="Normal"/>
    <w:link w:val="FootnoteTextChar"/>
    <w:semiHidden/>
    <w:rsid w:val="00A7091B"/>
    <w:rPr>
      <w:sz w:val="20"/>
      <w:szCs w:val="20"/>
    </w:rPr>
  </w:style>
  <w:style w:type="character" w:customStyle="1" w:styleId="FootnoteTextChar">
    <w:name w:val="Footnote Text Char"/>
    <w:basedOn w:val="DefaultParagraphFont"/>
    <w:link w:val="FootnoteText"/>
    <w:semiHidden/>
    <w:locked/>
    <w:rsid w:val="009116AE"/>
    <w:rPr>
      <w:rFonts w:cs="Times New Roman"/>
      <w:sz w:val="20"/>
      <w:szCs w:val="20"/>
      <w:lang w:val="de-AT" w:eastAsia="de-AT"/>
    </w:rPr>
  </w:style>
  <w:style w:type="character" w:styleId="FootnoteReference">
    <w:name w:val="footnote reference"/>
    <w:basedOn w:val="DefaultParagraphFont"/>
    <w:semiHidden/>
    <w:rsid w:val="00A7091B"/>
    <w:rPr>
      <w:rFonts w:cs="Times New Roman"/>
      <w:vertAlign w:val="superscript"/>
    </w:rPr>
  </w:style>
  <w:style w:type="paragraph" w:styleId="BodyText2">
    <w:name w:val="Body Text 2"/>
    <w:basedOn w:val="Normal"/>
    <w:link w:val="BodyText2Char"/>
    <w:rsid w:val="00A7091B"/>
    <w:pPr>
      <w:spacing w:line="220" w:lineRule="atLeast"/>
      <w:ind w:right="-207"/>
      <w:jc w:val="both"/>
    </w:pPr>
    <w:rPr>
      <w:rFonts w:ascii="Arial" w:hAnsi="Arial"/>
      <w:color w:val="333333"/>
      <w:sz w:val="18"/>
    </w:rPr>
  </w:style>
  <w:style w:type="character" w:customStyle="1" w:styleId="BodyText2Char">
    <w:name w:val="Body Text 2 Char"/>
    <w:basedOn w:val="DefaultParagraphFont"/>
    <w:link w:val="BodyText2"/>
    <w:semiHidden/>
    <w:locked/>
    <w:rsid w:val="009116AE"/>
    <w:rPr>
      <w:rFonts w:cs="Times New Roman"/>
      <w:sz w:val="24"/>
      <w:szCs w:val="24"/>
      <w:lang w:val="de-AT" w:eastAsia="de-AT"/>
    </w:rPr>
  </w:style>
  <w:style w:type="character" w:styleId="FollowedHyperlink">
    <w:name w:val="FollowedHyperlink"/>
    <w:basedOn w:val="DefaultParagraphFont"/>
    <w:rsid w:val="00C94153"/>
    <w:rPr>
      <w:rFonts w:cs="Times New Roman"/>
      <w:color w:val="800080"/>
      <w:u w:val="single"/>
    </w:rPr>
  </w:style>
  <w:style w:type="paragraph" w:styleId="ListParagraph">
    <w:name w:val="List Paragraph"/>
    <w:basedOn w:val="Normal"/>
    <w:uiPriority w:val="34"/>
    <w:qFormat/>
    <w:rsid w:val="00D2609A"/>
    <w:pPr>
      <w:ind w:left="720"/>
      <w:contextualSpacing/>
    </w:pPr>
  </w:style>
  <w:style w:type="table" w:styleId="TableGrid">
    <w:name w:val="Table Grid"/>
    <w:basedOn w:val="TableNormal"/>
    <w:locked/>
    <w:rsid w:val="00955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91B"/>
    <w:rPr>
      <w:sz w:val="24"/>
      <w:szCs w:val="24"/>
      <w:lang w:val="de-AT" w:eastAsia="de-AT"/>
    </w:rPr>
  </w:style>
  <w:style w:type="paragraph" w:styleId="Heading1">
    <w:name w:val="heading 1"/>
    <w:basedOn w:val="Normal"/>
    <w:next w:val="Normal"/>
    <w:link w:val="Heading1Char"/>
    <w:qFormat/>
    <w:rsid w:val="00A7091B"/>
    <w:pPr>
      <w:keepNext/>
      <w:spacing w:after="60" w:line="220" w:lineRule="atLeast"/>
      <w:outlineLvl w:val="0"/>
    </w:pPr>
    <w:rPr>
      <w:rFonts w:ascii="Arial" w:hAnsi="Arial" w:cs="Arial"/>
      <w:b/>
      <w:bCs/>
      <w:color w:val="FF0000"/>
      <w:sz w:val="20"/>
      <w:szCs w:val="20"/>
    </w:rPr>
  </w:style>
  <w:style w:type="paragraph" w:styleId="Heading2">
    <w:name w:val="heading 2"/>
    <w:basedOn w:val="Normal"/>
    <w:next w:val="Normal"/>
    <w:link w:val="Heading2Char"/>
    <w:qFormat/>
    <w:rsid w:val="00A7091B"/>
    <w:pPr>
      <w:keepNext/>
      <w:spacing w:line="220" w:lineRule="atLeast"/>
      <w:jc w:val="both"/>
      <w:outlineLvl w:val="1"/>
    </w:pPr>
    <w:rPr>
      <w:rFonts w:ascii="Arial" w:hAnsi="Arial"/>
      <w:b/>
      <w:color w:val="CF0000"/>
      <w:sz w:val="20"/>
    </w:rPr>
  </w:style>
  <w:style w:type="paragraph" w:styleId="Heading3">
    <w:name w:val="heading 3"/>
    <w:basedOn w:val="Normal"/>
    <w:next w:val="Normal"/>
    <w:link w:val="Heading3Char"/>
    <w:qFormat/>
    <w:rsid w:val="00A7091B"/>
    <w:pPr>
      <w:keepNext/>
      <w:jc w:val="center"/>
      <w:outlineLvl w:val="2"/>
    </w:pPr>
    <w:rPr>
      <w:rFonts w:ascii="Arial" w:hAnsi="Arial"/>
      <w:b/>
      <w:color w:val="CF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116AE"/>
    <w:rPr>
      <w:rFonts w:ascii="Cambria" w:hAnsi="Cambria" w:cs="Times New Roman"/>
      <w:b/>
      <w:bCs/>
      <w:kern w:val="32"/>
      <w:sz w:val="32"/>
      <w:szCs w:val="32"/>
      <w:lang w:val="de-AT" w:eastAsia="de-AT"/>
    </w:rPr>
  </w:style>
  <w:style w:type="character" w:customStyle="1" w:styleId="Heading2Char">
    <w:name w:val="Heading 2 Char"/>
    <w:basedOn w:val="DefaultParagraphFont"/>
    <w:link w:val="Heading2"/>
    <w:semiHidden/>
    <w:locked/>
    <w:rsid w:val="009116AE"/>
    <w:rPr>
      <w:rFonts w:ascii="Cambria" w:hAnsi="Cambria" w:cs="Times New Roman"/>
      <w:b/>
      <w:bCs/>
      <w:i/>
      <w:iCs/>
      <w:sz w:val="28"/>
      <w:szCs w:val="28"/>
      <w:lang w:val="de-AT" w:eastAsia="de-AT"/>
    </w:rPr>
  </w:style>
  <w:style w:type="character" w:customStyle="1" w:styleId="Heading3Char">
    <w:name w:val="Heading 3 Char"/>
    <w:basedOn w:val="DefaultParagraphFont"/>
    <w:link w:val="Heading3"/>
    <w:semiHidden/>
    <w:locked/>
    <w:rsid w:val="009116AE"/>
    <w:rPr>
      <w:rFonts w:ascii="Cambria" w:hAnsi="Cambria" w:cs="Times New Roman"/>
      <w:b/>
      <w:bCs/>
      <w:sz w:val="26"/>
      <w:szCs w:val="26"/>
      <w:lang w:val="de-AT" w:eastAsia="de-AT"/>
    </w:rPr>
  </w:style>
  <w:style w:type="paragraph" w:styleId="Header">
    <w:name w:val="header"/>
    <w:basedOn w:val="Normal"/>
    <w:link w:val="HeaderChar"/>
    <w:rsid w:val="00A7091B"/>
    <w:pPr>
      <w:tabs>
        <w:tab w:val="center" w:pos="4536"/>
        <w:tab w:val="right" w:pos="9072"/>
      </w:tabs>
    </w:pPr>
  </w:style>
  <w:style w:type="character" w:customStyle="1" w:styleId="HeaderChar">
    <w:name w:val="Header Char"/>
    <w:basedOn w:val="DefaultParagraphFont"/>
    <w:link w:val="Header"/>
    <w:semiHidden/>
    <w:locked/>
    <w:rsid w:val="009116AE"/>
    <w:rPr>
      <w:rFonts w:cs="Times New Roman"/>
      <w:sz w:val="24"/>
      <w:szCs w:val="24"/>
      <w:lang w:val="de-AT" w:eastAsia="de-AT"/>
    </w:rPr>
  </w:style>
  <w:style w:type="paragraph" w:styleId="Footer">
    <w:name w:val="footer"/>
    <w:basedOn w:val="Normal"/>
    <w:link w:val="FooterChar"/>
    <w:rsid w:val="00A7091B"/>
    <w:pPr>
      <w:tabs>
        <w:tab w:val="center" w:pos="4536"/>
        <w:tab w:val="right" w:pos="9072"/>
      </w:tabs>
    </w:pPr>
  </w:style>
  <w:style w:type="character" w:customStyle="1" w:styleId="FooterChar">
    <w:name w:val="Footer Char"/>
    <w:basedOn w:val="DefaultParagraphFont"/>
    <w:link w:val="Footer"/>
    <w:semiHidden/>
    <w:locked/>
    <w:rsid w:val="009116AE"/>
    <w:rPr>
      <w:rFonts w:cs="Times New Roman"/>
      <w:sz w:val="24"/>
      <w:szCs w:val="24"/>
      <w:lang w:val="de-AT" w:eastAsia="de-AT"/>
    </w:rPr>
  </w:style>
  <w:style w:type="paragraph" w:styleId="BodyText">
    <w:name w:val="Body Text"/>
    <w:basedOn w:val="Normal"/>
    <w:link w:val="BodyTextChar"/>
    <w:rsid w:val="00A7091B"/>
    <w:pPr>
      <w:jc w:val="both"/>
    </w:pPr>
    <w:rPr>
      <w:rFonts w:ascii="Arial" w:hAnsi="Arial"/>
      <w:color w:val="808080"/>
      <w:sz w:val="17"/>
    </w:rPr>
  </w:style>
  <w:style w:type="character" w:customStyle="1" w:styleId="BodyTextChar">
    <w:name w:val="Body Text Char"/>
    <w:basedOn w:val="DefaultParagraphFont"/>
    <w:link w:val="BodyText"/>
    <w:semiHidden/>
    <w:locked/>
    <w:rsid w:val="009116AE"/>
    <w:rPr>
      <w:rFonts w:cs="Times New Roman"/>
      <w:sz w:val="24"/>
      <w:szCs w:val="24"/>
      <w:lang w:val="de-AT" w:eastAsia="de-AT"/>
    </w:rPr>
  </w:style>
  <w:style w:type="paragraph" w:styleId="BalloonText">
    <w:name w:val="Balloon Text"/>
    <w:basedOn w:val="Normal"/>
    <w:link w:val="BalloonTextChar"/>
    <w:semiHidden/>
    <w:rsid w:val="00A7091B"/>
    <w:rPr>
      <w:rFonts w:ascii="Tahoma" w:hAnsi="Tahoma" w:cs="Tahoma"/>
      <w:sz w:val="16"/>
      <w:szCs w:val="16"/>
    </w:rPr>
  </w:style>
  <w:style w:type="character" w:customStyle="1" w:styleId="BalloonTextChar">
    <w:name w:val="Balloon Text Char"/>
    <w:basedOn w:val="DefaultParagraphFont"/>
    <w:link w:val="BalloonText"/>
    <w:semiHidden/>
    <w:locked/>
    <w:rsid w:val="009116AE"/>
    <w:rPr>
      <w:rFonts w:cs="Times New Roman"/>
      <w:sz w:val="2"/>
      <w:lang w:val="de-AT" w:eastAsia="de-AT"/>
    </w:rPr>
  </w:style>
  <w:style w:type="character" w:styleId="Hyperlink">
    <w:name w:val="Hyperlink"/>
    <w:basedOn w:val="DefaultParagraphFont"/>
    <w:rsid w:val="00A7091B"/>
    <w:rPr>
      <w:rFonts w:cs="Times New Roman"/>
      <w:color w:val="0000FF"/>
      <w:u w:val="single"/>
    </w:rPr>
  </w:style>
  <w:style w:type="paragraph" w:styleId="FootnoteText">
    <w:name w:val="footnote text"/>
    <w:basedOn w:val="Normal"/>
    <w:link w:val="FootnoteTextChar"/>
    <w:semiHidden/>
    <w:rsid w:val="00A7091B"/>
    <w:rPr>
      <w:sz w:val="20"/>
      <w:szCs w:val="20"/>
    </w:rPr>
  </w:style>
  <w:style w:type="character" w:customStyle="1" w:styleId="FootnoteTextChar">
    <w:name w:val="Footnote Text Char"/>
    <w:basedOn w:val="DefaultParagraphFont"/>
    <w:link w:val="FootnoteText"/>
    <w:semiHidden/>
    <w:locked/>
    <w:rsid w:val="009116AE"/>
    <w:rPr>
      <w:rFonts w:cs="Times New Roman"/>
      <w:sz w:val="20"/>
      <w:szCs w:val="20"/>
      <w:lang w:val="de-AT" w:eastAsia="de-AT"/>
    </w:rPr>
  </w:style>
  <w:style w:type="character" w:styleId="FootnoteReference">
    <w:name w:val="footnote reference"/>
    <w:basedOn w:val="DefaultParagraphFont"/>
    <w:semiHidden/>
    <w:rsid w:val="00A7091B"/>
    <w:rPr>
      <w:rFonts w:cs="Times New Roman"/>
      <w:vertAlign w:val="superscript"/>
    </w:rPr>
  </w:style>
  <w:style w:type="paragraph" w:styleId="BodyText2">
    <w:name w:val="Body Text 2"/>
    <w:basedOn w:val="Normal"/>
    <w:link w:val="BodyText2Char"/>
    <w:rsid w:val="00A7091B"/>
    <w:pPr>
      <w:spacing w:line="220" w:lineRule="atLeast"/>
      <w:ind w:right="-207"/>
      <w:jc w:val="both"/>
    </w:pPr>
    <w:rPr>
      <w:rFonts w:ascii="Arial" w:hAnsi="Arial"/>
      <w:color w:val="333333"/>
      <w:sz w:val="18"/>
    </w:rPr>
  </w:style>
  <w:style w:type="character" w:customStyle="1" w:styleId="BodyText2Char">
    <w:name w:val="Body Text 2 Char"/>
    <w:basedOn w:val="DefaultParagraphFont"/>
    <w:link w:val="BodyText2"/>
    <w:semiHidden/>
    <w:locked/>
    <w:rsid w:val="009116AE"/>
    <w:rPr>
      <w:rFonts w:cs="Times New Roman"/>
      <w:sz w:val="24"/>
      <w:szCs w:val="24"/>
      <w:lang w:val="de-AT" w:eastAsia="de-AT"/>
    </w:rPr>
  </w:style>
  <w:style w:type="character" w:styleId="FollowedHyperlink">
    <w:name w:val="FollowedHyperlink"/>
    <w:basedOn w:val="DefaultParagraphFont"/>
    <w:rsid w:val="00C94153"/>
    <w:rPr>
      <w:rFonts w:cs="Times New Roman"/>
      <w:color w:val="800080"/>
      <w:u w:val="single"/>
    </w:rPr>
  </w:style>
  <w:style w:type="paragraph" w:styleId="ListParagraph">
    <w:name w:val="List Paragraph"/>
    <w:basedOn w:val="Normal"/>
    <w:uiPriority w:val="34"/>
    <w:qFormat/>
    <w:rsid w:val="00D2609A"/>
    <w:pPr>
      <w:ind w:left="720"/>
      <w:contextualSpacing/>
    </w:pPr>
  </w:style>
  <w:style w:type="table" w:styleId="TableGrid">
    <w:name w:val="Table Grid"/>
    <w:basedOn w:val="TableNormal"/>
    <w:locked/>
    <w:rsid w:val="00955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9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nerh\AppData\Roaming\Microsoft\Templates\PR.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elovni\delo\NATASA\2013\PR\Press%20release\tujci_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sl-SI" sz="1000">
                <a:latin typeface="Arial" pitchFamily="34" charset="0"/>
                <a:cs typeface="Arial" pitchFamily="34" charset="0"/>
              </a:rPr>
              <a:t>Share of international investors in LJSE equity market capitalisation from 31 January 2012 to 31 January</a:t>
            </a:r>
            <a:r>
              <a:rPr lang="sl-SI" sz="1000" baseline="0">
                <a:latin typeface="Arial" pitchFamily="34" charset="0"/>
                <a:cs typeface="Arial" pitchFamily="34" charset="0"/>
              </a:rPr>
              <a:t> 2013 </a:t>
            </a:r>
            <a:endParaRPr lang="sl-SI" sz="1000">
              <a:latin typeface="Arial" pitchFamily="34" charset="0"/>
              <a:cs typeface="Arial" pitchFamily="34" charset="0"/>
            </a:endParaRPr>
          </a:p>
        </c:rich>
      </c:tx>
      <c:layout/>
      <c:overlay val="0"/>
    </c:title>
    <c:autoTitleDeleted val="0"/>
    <c:plotArea>
      <c:layout>
        <c:manualLayout>
          <c:layoutTarget val="inner"/>
          <c:xMode val="edge"/>
          <c:yMode val="edge"/>
          <c:x val="0.1125579615048119"/>
          <c:y val="0.19907407407407407"/>
          <c:w val="0.82319160104986888"/>
          <c:h val="0.60269612131816852"/>
        </c:manualLayout>
      </c:layout>
      <c:lineChart>
        <c:grouping val="standard"/>
        <c:varyColors val="0"/>
        <c:ser>
          <c:idx val="0"/>
          <c:order val="0"/>
          <c:tx>
            <c:strRef>
              <c:f>Sheet1!$B$1</c:f>
              <c:strCache>
                <c:ptCount val="1"/>
                <c:pt idx="0">
                  <c:v>% international investors</c:v>
                </c:pt>
              </c:strCache>
            </c:strRef>
          </c:tx>
          <c:spPr>
            <a:ln>
              <a:solidFill>
                <a:srgbClr val="D10005"/>
              </a:solidFill>
            </a:ln>
          </c:spPr>
          <c:marker>
            <c:symbol val="none"/>
          </c:marker>
          <c:cat>
            <c:numRef>
              <c:f>Sheet1!$A$2:$A$14</c:f>
              <c:numCache>
                <c:formatCode>m/d/yyyy</c:formatCode>
                <c:ptCount val="13"/>
                <c:pt idx="0">
                  <c:v>40939</c:v>
                </c:pt>
                <c:pt idx="1">
                  <c:v>40968</c:v>
                </c:pt>
                <c:pt idx="2">
                  <c:v>40999</c:v>
                </c:pt>
                <c:pt idx="3">
                  <c:v>41029</c:v>
                </c:pt>
                <c:pt idx="4">
                  <c:v>41060</c:v>
                </c:pt>
                <c:pt idx="5">
                  <c:v>41090</c:v>
                </c:pt>
                <c:pt idx="6">
                  <c:v>41121</c:v>
                </c:pt>
                <c:pt idx="7">
                  <c:v>41152</c:v>
                </c:pt>
                <c:pt idx="8">
                  <c:v>41182</c:v>
                </c:pt>
                <c:pt idx="9">
                  <c:v>41213</c:v>
                </c:pt>
                <c:pt idx="10">
                  <c:v>41243</c:v>
                </c:pt>
                <c:pt idx="11">
                  <c:v>41274</c:v>
                </c:pt>
                <c:pt idx="12">
                  <c:v>41305</c:v>
                </c:pt>
              </c:numCache>
            </c:numRef>
          </c:cat>
          <c:val>
            <c:numRef>
              <c:f>Sheet1!$B$2:$B$14</c:f>
              <c:numCache>
                <c:formatCode>0.00%</c:formatCode>
                <c:ptCount val="13"/>
                <c:pt idx="0">
                  <c:v>0.12560000000000002</c:v>
                </c:pt>
                <c:pt idx="1">
                  <c:v>0.1249</c:v>
                </c:pt>
                <c:pt idx="2">
                  <c:v>0.13089999999999999</c:v>
                </c:pt>
                <c:pt idx="3">
                  <c:v>0.1295</c:v>
                </c:pt>
                <c:pt idx="4">
                  <c:v>0.1234</c:v>
                </c:pt>
                <c:pt idx="5">
                  <c:v>0.12709999999999999</c:v>
                </c:pt>
                <c:pt idx="6">
                  <c:v>0.1285</c:v>
                </c:pt>
                <c:pt idx="7">
                  <c:v>0.12920000000000001</c:v>
                </c:pt>
                <c:pt idx="8">
                  <c:v>0.12670000000000001</c:v>
                </c:pt>
                <c:pt idx="9">
                  <c:v>0.1313</c:v>
                </c:pt>
                <c:pt idx="10">
                  <c:v>0.13390000000000002</c:v>
                </c:pt>
                <c:pt idx="11">
                  <c:v>0.13590802715113379</c:v>
                </c:pt>
                <c:pt idx="12">
                  <c:v>0.1419</c:v>
                </c:pt>
              </c:numCache>
            </c:numRef>
          </c:val>
          <c:smooth val="0"/>
        </c:ser>
        <c:dLbls>
          <c:showLegendKey val="0"/>
          <c:showVal val="0"/>
          <c:showCatName val="0"/>
          <c:showSerName val="0"/>
          <c:showPercent val="0"/>
          <c:showBubbleSize val="0"/>
        </c:dLbls>
        <c:marker val="1"/>
        <c:smooth val="0"/>
        <c:axId val="71380352"/>
        <c:axId val="71456256"/>
      </c:lineChart>
      <c:dateAx>
        <c:axId val="71380352"/>
        <c:scaling>
          <c:orientation val="minMax"/>
        </c:scaling>
        <c:delete val="0"/>
        <c:axPos val="b"/>
        <c:numFmt formatCode="m/d/yyyy" sourceLinked="1"/>
        <c:majorTickMark val="out"/>
        <c:minorTickMark val="none"/>
        <c:tickLblPos val="nextTo"/>
        <c:txPr>
          <a:bodyPr/>
          <a:lstStyle/>
          <a:p>
            <a:pPr>
              <a:defRPr sz="800">
                <a:latin typeface="Arial" pitchFamily="34" charset="0"/>
                <a:cs typeface="Arial" pitchFamily="34" charset="0"/>
              </a:defRPr>
            </a:pPr>
            <a:endParaRPr lang="en-US"/>
          </a:p>
        </c:txPr>
        <c:crossAx val="71456256"/>
        <c:crosses val="autoZero"/>
        <c:auto val="1"/>
        <c:lblOffset val="100"/>
        <c:baseTimeUnit val="months"/>
      </c:dateAx>
      <c:valAx>
        <c:axId val="71456256"/>
        <c:scaling>
          <c:orientation val="minMax"/>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0.00%" sourceLinked="1"/>
        <c:majorTickMark val="out"/>
        <c:minorTickMark val="none"/>
        <c:tickLblPos val="nextTo"/>
        <c:txPr>
          <a:bodyPr/>
          <a:lstStyle/>
          <a:p>
            <a:pPr>
              <a:defRPr sz="800">
                <a:latin typeface="Arial" pitchFamily="34" charset="0"/>
                <a:cs typeface="Arial" pitchFamily="34" charset="0"/>
              </a:defRPr>
            </a:pPr>
            <a:endParaRPr lang="en-US"/>
          </a:p>
        </c:txPr>
        <c:crossAx val="71380352"/>
        <c:crosses val="autoZero"/>
        <c:crossBetween val="between"/>
      </c:valAx>
    </c:plotArea>
    <c:legend>
      <c:legendPos val="r"/>
      <c:layout>
        <c:manualLayout>
          <c:xMode val="edge"/>
          <c:yMode val="edge"/>
          <c:x val="0.63019400699912509"/>
          <c:y val="0.62480788859725878"/>
          <c:w val="0.35591710411198596"/>
          <c:h val="8.3717191601049873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PR.dotx</Template>
  <TotalTime>1</TotalTime>
  <Pages>3</Pages>
  <Words>701</Words>
  <Characters>4000</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To</vt:lpstr>
      <vt:lpstr>To</vt:lpstr>
    </vt:vector>
  </TitlesOfParts>
  <Company>Ljubljanska borza d.d.</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Metka Šipek</dc:creator>
  <cp:lastModifiedBy>Hermina Pantner</cp:lastModifiedBy>
  <cp:revision>2</cp:revision>
  <cp:lastPrinted>2013-02-18T11:05:00Z</cp:lastPrinted>
  <dcterms:created xsi:type="dcterms:W3CDTF">2013-02-25T13:54:00Z</dcterms:created>
  <dcterms:modified xsi:type="dcterms:W3CDTF">2013-02-25T13:54:00Z</dcterms:modified>
</cp:coreProperties>
</file>