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46D7" w:rsidRDefault="004846D7" w:rsidP="00FF2173">
      <w:pPr>
        <w:pStyle w:val="Default"/>
        <w:rPr>
          <w:rFonts w:ascii="Times New Roman" w:hAnsi="Times New Roman"/>
          <w:b/>
          <w:bCs/>
          <w:szCs w:val="32"/>
        </w:rPr>
      </w:pPr>
      <w:r>
        <w:rPr>
          <w:rFonts w:ascii="Times New Roman" w:hAnsi="Times New Roman"/>
          <w:b/>
          <w:bCs/>
          <w:szCs w:val="32"/>
        </w:rPr>
        <w:t xml:space="preserve">POJASNILA ZA DELNIČARJE </w:t>
      </w:r>
    </w:p>
    <w:p w:rsidR="004846D7" w:rsidRDefault="004846D7" w:rsidP="00FF2173">
      <w:pPr>
        <w:pStyle w:val="Default"/>
        <w:rPr>
          <w:rFonts w:ascii="Times New Roman" w:hAnsi="Times New Roman"/>
          <w:szCs w:val="32"/>
        </w:rPr>
      </w:pPr>
    </w:p>
    <w:p w:rsidR="004846D7" w:rsidRDefault="004846D7" w:rsidP="00FF2173">
      <w:pPr>
        <w:pStyle w:val="Default"/>
        <w:jc w:val="both"/>
        <w:rPr>
          <w:rFonts w:ascii="Times New Roman" w:hAnsi="Times New Roman"/>
        </w:rPr>
      </w:pPr>
      <w:r>
        <w:rPr>
          <w:rFonts w:ascii="Times New Roman" w:hAnsi="Times New Roman"/>
        </w:rPr>
        <w:t xml:space="preserve">V skladu s 5. alinejo, 3. odstavka 296.člena Zakona o gospodarskih družbah, uradno prečiščeno besedilo (ZGD 1- UPB3), v nadaljevanju ZGD, MODRA LINIJA HOLDING, D.D. objavlja naslednje izčrpne informacije o pravicah delničarjev, ki jih bodo lahko izvrševali na 12. seji skupščine družbe Modra linija holding, d.d., ki bo dne 3.7.2014 ob 13.00 uri. </w:t>
      </w:r>
    </w:p>
    <w:p w:rsidR="004846D7" w:rsidRDefault="004846D7" w:rsidP="00FF2173">
      <w:pPr>
        <w:pStyle w:val="Default"/>
        <w:jc w:val="both"/>
        <w:rPr>
          <w:rFonts w:ascii="Times New Roman" w:hAnsi="Times New Roman"/>
        </w:rPr>
      </w:pPr>
      <w:r>
        <w:rPr>
          <w:rFonts w:ascii="Times New Roman" w:hAnsi="Times New Roman"/>
        </w:rPr>
        <w:t xml:space="preserve">Delničarji, katerih skupni deleži dosegajo dvajsetino osnovnega kapitala, lahko po objavi sklica skupščine pisno zahtevajo dodatno točko dnevnega reda. Zahtevi morajo v pisni obliki priložiti predlog sklepa, o katerem naj skupščina odloča, ali če skupščina pri posamezni točki dnevnega reda ne sprejme sklepa, obrazložitev točke dnevnega reda. Uprava družbe bo v skladu s tretjim odstavkom 298. člena ZGD-1 objavila tiste dodatne točke dnevnega reda glede katerih bodo delničarji zahteve poslali družbi najpozneje sedem dni po objavi tega sklica skupščine. </w:t>
      </w:r>
    </w:p>
    <w:p w:rsidR="004846D7" w:rsidRDefault="004846D7" w:rsidP="00FF2173">
      <w:pPr>
        <w:pStyle w:val="Default"/>
        <w:jc w:val="both"/>
        <w:rPr>
          <w:rFonts w:ascii="Times New Roman" w:hAnsi="Times New Roman"/>
        </w:rPr>
      </w:pPr>
      <w:r>
        <w:rPr>
          <w:rFonts w:ascii="Times New Roman" w:hAnsi="Times New Roman"/>
        </w:rPr>
        <w:t>Uprava mora nemudoma po poteku zgoraj navedenega roka objaviti dodatne točke dnevnega reda, ki naj se obravnavajo na skupščini. Dodatna točka dnevnega reda se lahko obravnava na skupščini le, če je bila objavljena vsaj 14 dne pred skupščino, sicer se obravnava na prvi naslednji skupščini. (3. odst. 298. člena ZGD)</w:t>
      </w:r>
    </w:p>
    <w:p w:rsidR="004846D7" w:rsidRDefault="004846D7" w:rsidP="00FF2173">
      <w:pPr>
        <w:pStyle w:val="Default"/>
        <w:jc w:val="both"/>
        <w:rPr>
          <w:rFonts w:ascii="Times New Roman" w:hAnsi="Times New Roman"/>
        </w:rPr>
      </w:pPr>
      <w:r>
        <w:rPr>
          <w:rFonts w:ascii="Times New Roman" w:hAnsi="Times New Roman"/>
        </w:rPr>
        <w:t xml:space="preserve">Delničarji lahko k vsaki točki dnevnega reda v pisni obliki dajejo predloge sklepov. Predlog delničarja se objavi in sporoči na način iz 296. člena ZGD le, če je delničar v sedmih dneh po objavi sklica skupščine poslal družbi razumno utemeljeni predlog in pri tem sporočil, da bo na skupščini ugovarjal predlogu uprave ali nadzornega sveta in da bo druge delničarje pripravil do tega, da bodo glasovali za njegov predlog. </w:t>
      </w:r>
    </w:p>
    <w:p w:rsidR="004846D7" w:rsidRDefault="004846D7" w:rsidP="00FF2173">
      <w:pPr>
        <w:pStyle w:val="Default"/>
        <w:jc w:val="both"/>
        <w:rPr>
          <w:rFonts w:ascii="Times New Roman" w:hAnsi="Times New Roman"/>
        </w:rPr>
      </w:pPr>
      <w:bookmarkStart w:id="0" w:name="_GoBack"/>
      <w:bookmarkEnd w:id="0"/>
      <w:r>
        <w:rPr>
          <w:rFonts w:ascii="Times New Roman" w:hAnsi="Times New Roman"/>
        </w:rPr>
        <w:t xml:space="preserve">Upravi ni treba objaviti delničarjevega predloga in njegove utemeljitve, če: </w:t>
      </w:r>
    </w:p>
    <w:p w:rsidR="004846D7" w:rsidRDefault="004846D7" w:rsidP="00FF2173">
      <w:pPr>
        <w:pStyle w:val="Default"/>
        <w:numPr>
          <w:ilvl w:val="0"/>
          <w:numId w:val="1"/>
        </w:numPr>
        <w:jc w:val="both"/>
        <w:rPr>
          <w:rFonts w:ascii="Times New Roman" w:hAnsi="Times New Roman"/>
        </w:rPr>
      </w:pPr>
      <w:r>
        <w:rPr>
          <w:rFonts w:ascii="Times New Roman" w:hAnsi="Times New Roman"/>
        </w:rPr>
        <w:t xml:space="preserve">bi bilo z objavo predloga storjeno kaznivo dejanje ali prekršek; </w:t>
      </w:r>
    </w:p>
    <w:p w:rsidR="004846D7" w:rsidRDefault="004846D7" w:rsidP="00FF2173">
      <w:pPr>
        <w:pStyle w:val="Default"/>
        <w:numPr>
          <w:ilvl w:val="0"/>
          <w:numId w:val="1"/>
        </w:numPr>
        <w:jc w:val="both"/>
        <w:rPr>
          <w:rFonts w:ascii="Times New Roman" w:hAnsi="Times New Roman"/>
        </w:rPr>
      </w:pPr>
      <w:r>
        <w:rPr>
          <w:rFonts w:ascii="Times New Roman" w:hAnsi="Times New Roman"/>
        </w:rPr>
        <w:t xml:space="preserve">bi predlog lahko povzročil skupščinski sklep, ki bi bil v nasprotju z zakonom ali statutom; </w:t>
      </w:r>
    </w:p>
    <w:p w:rsidR="004846D7" w:rsidRDefault="004846D7" w:rsidP="00FF2173">
      <w:pPr>
        <w:pStyle w:val="Default"/>
        <w:numPr>
          <w:ilvl w:val="0"/>
          <w:numId w:val="1"/>
        </w:numPr>
        <w:jc w:val="both"/>
        <w:rPr>
          <w:rFonts w:ascii="Times New Roman" w:hAnsi="Times New Roman"/>
        </w:rPr>
      </w:pPr>
      <w:r>
        <w:rPr>
          <w:rFonts w:ascii="Times New Roman" w:hAnsi="Times New Roman"/>
        </w:rPr>
        <w:t xml:space="preserve">utemeljitev predloga v bistvenih točkah vsebuje očitno napačne ali zavajajoče podatke ali žalitve; </w:t>
      </w:r>
    </w:p>
    <w:p w:rsidR="004846D7" w:rsidRDefault="004846D7" w:rsidP="00FF2173">
      <w:pPr>
        <w:pStyle w:val="Default"/>
        <w:numPr>
          <w:ilvl w:val="0"/>
          <w:numId w:val="1"/>
        </w:numPr>
        <w:jc w:val="both"/>
        <w:rPr>
          <w:rFonts w:ascii="Times New Roman" w:hAnsi="Times New Roman"/>
        </w:rPr>
      </w:pPr>
      <w:r>
        <w:rPr>
          <w:rFonts w:ascii="Times New Roman" w:hAnsi="Times New Roman"/>
        </w:rPr>
        <w:t xml:space="preserve">je bil delničarjev predlog z isto vsebino že sporočen skupščini družbe; </w:t>
      </w:r>
    </w:p>
    <w:p w:rsidR="004846D7" w:rsidRDefault="004846D7" w:rsidP="00FF2173">
      <w:pPr>
        <w:pStyle w:val="Default"/>
        <w:numPr>
          <w:ilvl w:val="0"/>
          <w:numId w:val="1"/>
        </w:numPr>
        <w:jc w:val="both"/>
        <w:rPr>
          <w:rFonts w:ascii="Times New Roman" w:hAnsi="Times New Roman"/>
        </w:rPr>
      </w:pPr>
      <w:r>
        <w:rPr>
          <w:rFonts w:ascii="Times New Roman" w:hAnsi="Times New Roman"/>
        </w:rPr>
        <w:t xml:space="preserve">je bil isti delničarjev predlog z bistveno isto utemeljitvijo v zadnjih petih letih že sporočen na najmanj dveh skupščinah družbe in če je na skupščini zanj glasovala manj kot dvajsetina zastopanega osnovnega kapitala; </w:t>
      </w:r>
    </w:p>
    <w:p w:rsidR="004846D7" w:rsidRDefault="004846D7" w:rsidP="00FF2173">
      <w:pPr>
        <w:pStyle w:val="Default"/>
        <w:numPr>
          <w:ilvl w:val="0"/>
          <w:numId w:val="1"/>
        </w:numPr>
        <w:jc w:val="both"/>
        <w:rPr>
          <w:rFonts w:ascii="Times New Roman" w:hAnsi="Times New Roman"/>
        </w:rPr>
      </w:pPr>
      <w:r>
        <w:rPr>
          <w:rFonts w:ascii="Times New Roman" w:hAnsi="Times New Roman"/>
        </w:rPr>
        <w:t xml:space="preserve">da delničar vedeti, da se skupščine ne bo udeležil in ne bo zastopan, ali </w:t>
      </w:r>
    </w:p>
    <w:p w:rsidR="004846D7" w:rsidRDefault="004846D7" w:rsidP="00FF2173">
      <w:pPr>
        <w:pStyle w:val="Default"/>
        <w:numPr>
          <w:ilvl w:val="0"/>
          <w:numId w:val="1"/>
        </w:numPr>
        <w:jc w:val="both"/>
        <w:rPr>
          <w:rFonts w:ascii="Times New Roman" w:hAnsi="Times New Roman"/>
        </w:rPr>
      </w:pPr>
      <w:r>
        <w:rPr>
          <w:rFonts w:ascii="Times New Roman" w:hAnsi="Times New Roman"/>
        </w:rPr>
        <w:t xml:space="preserve">delničar v zadnjih dveh letih na skupščini ni postavil svojega sporočenega predloga ali ga ni dal postaviti. (3. odst, 300. člena ZGD) </w:t>
      </w:r>
    </w:p>
    <w:p w:rsidR="004846D7" w:rsidRDefault="004846D7" w:rsidP="00FF2173">
      <w:pPr>
        <w:pStyle w:val="Default"/>
        <w:jc w:val="both"/>
        <w:rPr>
          <w:rFonts w:ascii="Times New Roman" w:hAnsi="Times New Roman"/>
        </w:rPr>
      </w:pPr>
    </w:p>
    <w:p w:rsidR="004846D7" w:rsidRDefault="004846D7" w:rsidP="00FF2173">
      <w:pPr>
        <w:pStyle w:val="Default"/>
        <w:jc w:val="both"/>
        <w:rPr>
          <w:rFonts w:ascii="Times New Roman" w:hAnsi="Times New Roman"/>
        </w:rPr>
      </w:pPr>
      <w:r>
        <w:rPr>
          <w:rFonts w:ascii="Times New Roman" w:hAnsi="Times New Roman"/>
        </w:rPr>
        <w:t xml:space="preserve">Utemeljitve predloga ni treba objaviti, če vsebuje več kot 3000 znakov. Uprava lahko predloge in njihove utemeljitve, ki jih je o isti zadevi dalo več delničarjev, objavi v povzetku. Predlogi delničarjev, ki niso poslani v roku sedmih dni po objavi sklica skupščine in so dani najpozneje na sami skupščini, se obravnavajo na skupščini. (4., </w:t>
      </w:r>
      <w:smartTag w:uri="urn:schemas-microsoft-com:office:smarttags" w:element="metricconverter">
        <w:smartTagPr>
          <w:attr w:name="ProductID" w:val="5. in"/>
        </w:smartTagPr>
        <w:r>
          <w:rPr>
            <w:rFonts w:ascii="Times New Roman" w:hAnsi="Times New Roman"/>
          </w:rPr>
          <w:t>5. in</w:t>
        </w:r>
      </w:smartTag>
      <w:r>
        <w:rPr>
          <w:rFonts w:ascii="Times New Roman" w:hAnsi="Times New Roman"/>
        </w:rPr>
        <w:t xml:space="preserve"> 6. odst. 300. člena ZGD) </w:t>
      </w:r>
    </w:p>
    <w:p w:rsidR="004846D7" w:rsidRDefault="004846D7" w:rsidP="00FF2173">
      <w:pPr>
        <w:pStyle w:val="Default"/>
        <w:jc w:val="both"/>
        <w:rPr>
          <w:rFonts w:ascii="Times New Roman" w:hAnsi="Times New Roman"/>
        </w:rPr>
      </w:pPr>
      <w:r>
        <w:rPr>
          <w:rFonts w:ascii="Times New Roman" w:hAnsi="Times New Roman"/>
        </w:rPr>
        <w:t xml:space="preserve">Delničarji predloga o volitvah članov nadzornega sveta, uprave ali revizorjev (volilnih predlogov) ni potrebno utemeljevati. Zanje se smiselno uporabljajo določbe 300. člena ZGD.  (301. člena ZGD) </w:t>
      </w:r>
    </w:p>
    <w:p w:rsidR="004846D7" w:rsidRDefault="004846D7" w:rsidP="00FF2173">
      <w:pPr>
        <w:pStyle w:val="Default"/>
        <w:jc w:val="both"/>
        <w:rPr>
          <w:rFonts w:ascii="Times New Roman" w:hAnsi="Times New Roman"/>
        </w:rPr>
      </w:pPr>
      <w:r>
        <w:rPr>
          <w:rFonts w:ascii="Times New Roman" w:hAnsi="Times New Roman"/>
        </w:rPr>
        <w:t xml:space="preserve">Uprava mora na skupščini dati delničarjem zanesljive podatke o zadevah družbe, če so potrebni za presojo točk dnevnega reda. Na vprašanje delničarjev z isto vsebino lahko da podatke v skupnem odgovoru. Pravica do obveščenosti velja tudi za pravna in poslovna razmerja družbe s povezanimi družbami. </w:t>
      </w:r>
    </w:p>
    <w:p w:rsidR="004846D7" w:rsidRDefault="004846D7" w:rsidP="00FF2173">
      <w:pPr>
        <w:pStyle w:val="Default"/>
        <w:jc w:val="both"/>
        <w:rPr>
          <w:rFonts w:ascii="Times New Roman" w:hAnsi="Times New Roman"/>
        </w:rPr>
      </w:pPr>
      <w:r>
        <w:rPr>
          <w:rFonts w:ascii="Times New Roman" w:hAnsi="Times New Roman"/>
        </w:rPr>
        <w:t xml:space="preserve">Upravi ni treba dati podatkov le: </w:t>
      </w:r>
    </w:p>
    <w:p w:rsidR="004846D7" w:rsidRDefault="004846D7" w:rsidP="00FF2173">
      <w:pPr>
        <w:pStyle w:val="Default"/>
        <w:numPr>
          <w:ilvl w:val="0"/>
          <w:numId w:val="2"/>
        </w:numPr>
        <w:jc w:val="both"/>
        <w:rPr>
          <w:rFonts w:ascii="Times New Roman" w:hAnsi="Times New Roman"/>
        </w:rPr>
      </w:pPr>
      <w:r>
        <w:rPr>
          <w:rFonts w:ascii="Times New Roman" w:hAnsi="Times New Roman"/>
        </w:rPr>
        <w:t xml:space="preserve">če je dajanje podatkov po razumni gospodarski presoji tako, da bi lahko družbi ali povezani družbi povzročilo škodo; </w:t>
      </w:r>
    </w:p>
    <w:p w:rsidR="004846D7" w:rsidRDefault="004846D7" w:rsidP="00FF2173">
      <w:pPr>
        <w:pStyle w:val="Default"/>
        <w:numPr>
          <w:ilvl w:val="0"/>
          <w:numId w:val="2"/>
        </w:numPr>
        <w:jc w:val="both"/>
        <w:rPr>
          <w:rFonts w:ascii="Times New Roman" w:hAnsi="Times New Roman"/>
        </w:rPr>
      </w:pPr>
      <w:r>
        <w:rPr>
          <w:rFonts w:ascii="Times New Roman" w:hAnsi="Times New Roman"/>
        </w:rPr>
        <w:t xml:space="preserve">metodah bilanciranja in ocenjevanja, če navedba teh metod v dodatku zadostuje za presojo premoženjskega, finančnega in dobičkonosnega stanja družbe, ki ustreza dejanskim razmeram; </w:t>
      </w:r>
    </w:p>
    <w:p w:rsidR="004846D7" w:rsidRDefault="004846D7" w:rsidP="00FF2173">
      <w:pPr>
        <w:pStyle w:val="Default"/>
        <w:numPr>
          <w:ilvl w:val="0"/>
          <w:numId w:val="2"/>
        </w:numPr>
        <w:jc w:val="both"/>
        <w:rPr>
          <w:rFonts w:ascii="Times New Roman" w:hAnsi="Times New Roman"/>
        </w:rPr>
      </w:pPr>
      <w:r>
        <w:rPr>
          <w:rFonts w:ascii="Times New Roman" w:hAnsi="Times New Roman"/>
        </w:rPr>
        <w:t xml:space="preserve">če bi bilo z dajanjem podatkov storjeno kaznivo dejanje ali prekršek ali bi bili kršeni dobri poslovni običaji, ali </w:t>
      </w:r>
    </w:p>
    <w:p w:rsidR="004846D7" w:rsidRDefault="004846D7" w:rsidP="00FF2173">
      <w:pPr>
        <w:pStyle w:val="Default"/>
        <w:numPr>
          <w:ilvl w:val="0"/>
          <w:numId w:val="2"/>
        </w:numPr>
        <w:jc w:val="both"/>
        <w:rPr>
          <w:rFonts w:ascii="Times New Roman" w:hAnsi="Times New Roman"/>
        </w:rPr>
      </w:pPr>
      <w:r>
        <w:rPr>
          <w:rFonts w:ascii="Times New Roman" w:hAnsi="Times New Roman"/>
        </w:rPr>
        <w:t xml:space="preserve">če so podatki objavljeni na spletni strani družbe v obliki vprašanj in odgovorov vsaj sedem dni pred zasedanjem skupščine. </w:t>
      </w:r>
    </w:p>
    <w:p w:rsidR="004846D7" w:rsidRDefault="004846D7" w:rsidP="00FF2173">
      <w:pPr>
        <w:pStyle w:val="Default"/>
        <w:jc w:val="both"/>
        <w:rPr>
          <w:rFonts w:ascii="Times New Roman" w:hAnsi="Times New Roman"/>
        </w:rPr>
      </w:pPr>
    </w:p>
    <w:p w:rsidR="004846D7" w:rsidRDefault="004846D7" w:rsidP="00FF2173">
      <w:pPr>
        <w:pStyle w:val="Default"/>
        <w:jc w:val="both"/>
        <w:rPr>
          <w:rFonts w:ascii="Times New Roman" w:hAnsi="Times New Roman"/>
        </w:rPr>
      </w:pPr>
      <w:r>
        <w:rPr>
          <w:rFonts w:ascii="Times New Roman" w:hAnsi="Times New Roman"/>
        </w:rPr>
        <w:t>Če je bil delničarju dan podatek zunaj zasedanja skupščine, ga je treba dati vsakemu drugemu delničarju na njegovo zahtevo, tudi če ni potreben za presojo zadeve z dnevnega reda.</w:t>
      </w:r>
    </w:p>
    <w:p w:rsidR="004846D7" w:rsidRDefault="004846D7" w:rsidP="00FF2173">
      <w:pPr>
        <w:pStyle w:val="Default"/>
        <w:jc w:val="both"/>
        <w:rPr>
          <w:rFonts w:ascii="Times New Roman" w:hAnsi="Times New Roman"/>
        </w:rPr>
      </w:pPr>
      <w:r>
        <w:rPr>
          <w:rFonts w:ascii="Times New Roman" w:hAnsi="Times New Roman"/>
        </w:rPr>
        <w:t xml:space="preserve">Če delničarju niso dani podatki, lahko zahteva, da se njegovo vprašanje in razlog, zaradi katerih je bilo dajanje podatkov zavrnjeno, vključita v zapisnik (305. člena ZGD). </w:t>
      </w:r>
    </w:p>
    <w:p w:rsidR="004846D7" w:rsidRDefault="004846D7" w:rsidP="00FF2173">
      <w:pPr>
        <w:jc w:val="both"/>
      </w:pPr>
    </w:p>
    <w:p w:rsidR="004846D7" w:rsidRDefault="004846D7" w:rsidP="00FF2173">
      <w:pPr>
        <w:jc w:val="both"/>
      </w:pPr>
    </w:p>
    <w:p w:rsidR="004846D7" w:rsidRDefault="004846D7" w:rsidP="00FF2173"/>
    <w:p w:rsidR="004846D7" w:rsidRDefault="004846D7" w:rsidP="00FF2173"/>
    <w:p w:rsidR="004846D7" w:rsidRDefault="004846D7"/>
    <w:sectPr w:rsidR="004846D7" w:rsidSect="00FF7B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C4F73"/>
    <w:multiLevelType w:val="hybridMultilevel"/>
    <w:tmpl w:val="2CDC3F6A"/>
    <w:lvl w:ilvl="0" w:tplc="04240009">
      <w:start w:val="1"/>
      <w:numFmt w:val="bullet"/>
      <w:lvlText w:val=""/>
      <w:lvlJc w:val="left"/>
      <w:pPr>
        <w:tabs>
          <w:tab w:val="num" w:pos="780"/>
        </w:tabs>
        <w:ind w:left="780" w:hanging="360"/>
      </w:pPr>
      <w:rPr>
        <w:rFonts w:ascii="Wingdings" w:hAnsi="Wingdings" w:hint="default"/>
      </w:rPr>
    </w:lvl>
    <w:lvl w:ilvl="1" w:tplc="2662E3AE">
      <w:numFmt w:val="bullet"/>
      <w:lvlText w:val=""/>
      <w:lvlJc w:val="left"/>
      <w:pPr>
        <w:tabs>
          <w:tab w:val="num" w:pos="1500"/>
        </w:tabs>
        <w:ind w:left="1500" w:hanging="360"/>
      </w:pPr>
      <w:rPr>
        <w:rFonts w:ascii="Symbol" w:eastAsia="Times New Roman" w:hAnsi="Symbol" w:hint="default"/>
      </w:rPr>
    </w:lvl>
    <w:lvl w:ilvl="2" w:tplc="04240005">
      <w:start w:val="1"/>
      <w:numFmt w:val="bullet"/>
      <w:lvlText w:val=""/>
      <w:lvlJc w:val="left"/>
      <w:pPr>
        <w:tabs>
          <w:tab w:val="num" w:pos="2220"/>
        </w:tabs>
        <w:ind w:left="2220" w:hanging="360"/>
      </w:pPr>
      <w:rPr>
        <w:rFonts w:ascii="Wingdings" w:hAnsi="Wingdings" w:hint="default"/>
      </w:rPr>
    </w:lvl>
    <w:lvl w:ilvl="3" w:tplc="04240001">
      <w:start w:val="1"/>
      <w:numFmt w:val="bullet"/>
      <w:lvlText w:val=""/>
      <w:lvlJc w:val="left"/>
      <w:pPr>
        <w:tabs>
          <w:tab w:val="num" w:pos="2940"/>
        </w:tabs>
        <w:ind w:left="2940" w:hanging="360"/>
      </w:pPr>
      <w:rPr>
        <w:rFonts w:ascii="Symbol" w:hAnsi="Symbol" w:hint="default"/>
      </w:rPr>
    </w:lvl>
    <w:lvl w:ilvl="4" w:tplc="04240003">
      <w:start w:val="1"/>
      <w:numFmt w:val="bullet"/>
      <w:lvlText w:val="o"/>
      <w:lvlJc w:val="left"/>
      <w:pPr>
        <w:tabs>
          <w:tab w:val="num" w:pos="3660"/>
        </w:tabs>
        <w:ind w:left="3660" w:hanging="360"/>
      </w:pPr>
      <w:rPr>
        <w:rFonts w:ascii="Courier New" w:hAnsi="Courier New" w:hint="default"/>
      </w:rPr>
    </w:lvl>
    <w:lvl w:ilvl="5" w:tplc="04240005">
      <w:start w:val="1"/>
      <w:numFmt w:val="bullet"/>
      <w:lvlText w:val=""/>
      <w:lvlJc w:val="left"/>
      <w:pPr>
        <w:tabs>
          <w:tab w:val="num" w:pos="4380"/>
        </w:tabs>
        <w:ind w:left="4380" w:hanging="360"/>
      </w:pPr>
      <w:rPr>
        <w:rFonts w:ascii="Wingdings" w:hAnsi="Wingdings" w:hint="default"/>
      </w:rPr>
    </w:lvl>
    <w:lvl w:ilvl="6" w:tplc="04240001">
      <w:start w:val="1"/>
      <w:numFmt w:val="bullet"/>
      <w:lvlText w:val=""/>
      <w:lvlJc w:val="left"/>
      <w:pPr>
        <w:tabs>
          <w:tab w:val="num" w:pos="5100"/>
        </w:tabs>
        <w:ind w:left="5100" w:hanging="360"/>
      </w:pPr>
      <w:rPr>
        <w:rFonts w:ascii="Symbol" w:hAnsi="Symbol" w:hint="default"/>
      </w:rPr>
    </w:lvl>
    <w:lvl w:ilvl="7" w:tplc="04240003">
      <w:start w:val="1"/>
      <w:numFmt w:val="bullet"/>
      <w:lvlText w:val="o"/>
      <w:lvlJc w:val="left"/>
      <w:pPr>
        <w:tabs>
          <w:tab w:val="num" w:pos="5820"/>
        </w:tabs>
        <w:ind w:left="5820" w:hanging="360"/>
      </w:pPr>
      <w:rPr>
        <w:rFonts w:ascii="Courier New" w:hAnsi="Courier New" w:hint="default"/>
      </w:rPr>
    </w:lvl>
    <w:lvl w:ilvl="8" w:tplc="04240005">
      <w:start w:val="1"/>
      <w:numFmt w:val="bullet"/>
      <w:lvlText w:val=""/>
      <w:lvlJc w:val="left"/>
      <w:pPr>
        <w:tabs>
          <w:tab w:val="num" w:pos="6540"/>
        </w:tabs>
        <w:ind w:left="6540" w:hanging="360"/>
      </w:pPr>
      <w:rPr>
        <w:rFonts w:ascii="Wingdings" w:hAnsi="Wingdings" w:hint="default"/>
      </w:rPr>
    </w:lvl>
  </w:abstractNum>
  <w:abstractNum w:abstractNumId="1">
    <w:nsid w:val="1BFE0CC2"/>
    <w:multiLevelType w:val="hybridMultilevel"/>
    <w:tmpl w:val="C44880C5"/>
    <w:lvl w:ilvl="0" w:tplc="04240009">
      <w:start w:val="1"/>
      <w:numFmt w:val="bullet"/>
      <w:lvlText w:val=""/>
      <w:lvlJc w:val="left"/>
      <w:pPr>
        <w:tabs>
          <w:tab w:val="num" w:pos="360"/>
        </w:tabs>
        <w:ind w:left="360" w:hanging="360"/>
      </w:pPr>
      <w:rPr>
        <w:rFonts w:ascii="Wingdings" w:hAnsi="Wingdings" w:hint="default"/>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F2173"/>
    <w:rsid w:val="00383F15"/>
    <w:rsid w:val="004846D7"/>
    <w:rsid w:val="00581EF8"/>
    <w:rsid w:val="00B06EE1"/>
    <w:rsid w:val="00C1278D"/>
    <w:rsid w:val="00D32D07"/>
    <w:rsid w:val="00FF2173"/>
    <w:rsid w:val="00FF7B59"/>
  </w:rsids>
  <m:mathPr>
    <m:mathFont m:val="Cambria Math"/>
    <m:brkBin m:val="before"/>
    <m:brkBinSub m:val="--"/>
    <m:smallFrac m:val="off"/>
    <m:dispDef/>
    <m:lMargin m:val="0"/>
    <m:rMargin m:val="0"/>
    <m:defJc m:val="centerGroup"/>
    <m:wrapIndent m:val="1440"/>
    <m:intLim m:val="subSup"/>
    <m:naryLim m:val="undOvr"/>
  </m:mathPr>
  <w:uiCompat97To2003/>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l-SI" w:eastAsia="sl-SI"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2173"/>
    <w:rPr>
      <w:rFonts w:ascii="Times New Roman" w:eastAsia="Times New Roman" w:hAnsi="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FF2173"/>
    <w:rPr>
      <w:rFonts w:cs="Times New Roman"/>
      <w:color w:val="0000FF"/>
      <w:u w:val="single"/>
    </w:rPr>
  </w:style>
  <w:style w:type="paragraph" w:customStyle="1" w:styleId="Default">
    <w:name w:val="Default"/>
    <w:uiPriority w:val="99"/>
    <w:rsid w:val="00FF2173"/>
    <w:pPr>
      <w:autoSpaceDE w:val="0"/>
      <w:autoSpaceDN w:val="0"/>
      <w:adjustRightInd w:val="0"/>
    </w:pPr>
    <w:rPr>
      <w:rFonts w:eastAsia="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318944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2</Pages>
  <Words>644</Words>
  <Characters>3673</Characters>
  <Application>Microsoft Office Outlook</Application>
  <DocSecurity>0</DocSecurity>
  <Lines>0</Lines>
  <Paragraphs>0</Paragraphs>
  <ScaleCrop>false</ScaleCrop>
  <Company>Modra linija holding d.d.</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POJASNILA ZA DELNIČARJE </dc:title>
  <dc:subject/>
  <dc:creator>Žarko Ždralič</dc:creator>
  <cp:keywords/>
  <dc:description/>
  <cp:lastModifiedBy>Sonja Žitko</cp:lastModifiedBy>
  <cp:revision>2</cp:revision>
  <cp:lastPrinted>2014-05-30T08:50:00Z</cp:lastPrinted>
  <dcterms:created xsi:type="dcterms:W3CDTF">2014-05-30T09:17:00Z</dcterms:created>
  <dcterms:modified xsi:type="dcterms:W3CDTF">2014-05-30T09:17:00Z</dcterms:modified>
</cp:coreProperties>
</file>