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08D" w:rsidRDefault="00BE7220">
      <w:pPr>
        <w:jc w:val="center"/>
        <w:rPr>
          <w:b/>
          <w:bCs/>
          <w:sz w:val="28"/>
          <w:szCs w:val="28"/>
        </w:rPr>
      </w:pPr>
      <w:r>
        <w:rPr>
          <w:b/>
          <w:bCs/>
          <w:sz w:val="28"/>
          <w:szCs w:val="28"/>
        </w:rPr>
        <w:t xml:space="preserve">VMESNO POROČILO POSLOVODSTVA </w:t>
      </w:r>
    </w:p>
    <w:p w:rsidR="00E4408D" w:rsidRDefault="00BE7220">
      <w:pPr>
        <w:jc w:val="center"/>
        <w:rPr>
          <w:b/>
          <w:bCs/>
          <w:sz w:val="28"/>
          <w:szCs w:val="28"/>
        </w:rPr>
      </w:pPr>
      <w:r>
        <w:rPr>
          <w:b/>
          <w:bCs/>
          <w:sz w:val="28"/>
          <w:szCs w:val="28"/>
        </w:rPr>
        <w:t xml:space="preserve">o poslovanju družbe Modra linija holding, </w:t>
      </w:r>
      <w:proofErr w:type="spellStart"/>
      <w:r>
        <w:rPr>
          <w:b/>
          <w:bCs/>
          <w:sz w:val="28"/>
          <w:szCs w:val="28"/>
        </w:rPr>
        <w:t>d.d</w:t>
      </w:r>
      <w:proofErr w:type="spellEnd"/>
      <w:r>
        <w:rPr>
          <w:b/>
          <w:bCs/>
          <w:sz w:val="28"/>
          <w:szCs w:val="28"/>
        </w:rPr>
        <w:t>. KOPER</w:t>
      </w:r>
    </w:p>
    <w:p w:rsidR="00E4408D" w:rsidRDefault="00BE7220">
      <w:pPr>
        <w:jc w:val="center"/>
        <w:rPr>
          <w:b/>
          <w:bCs/>
          <w:sz w:val="28"/>
          <w:szCs w:val="28"/>
        </w:rPr>
      </w:pPr>
      <w:r>
        <w:rPr>
          <w:b/>
          <w:bCs/>
          <w:sz w:val="28"/>
          <w:szCs w:val="28"/>
        </w:rPr>
        <w:t>od 1.1.2015 do dneva objave poročila</w:t>
      </w:r>
    </w:p>
    <w:p w:rsidR="00E4408D" w:rsidRDefault="00E4408D"/>
    <w:p w:rsidR="00E4408D" w:rsidRDefault="00E4408D"/>
    <w:p w:rsidR="00E4408D" w:rsidRDefault="00BE7220">
      <w:pPr>
        <w:autoSpaceDE w:val="0"/>
        <w:rPr>
          <w:b/>
          <w:bCs/>
          <w:sz w:val="22"/>
          <w:szCs w:val="22"/>
        </w:rPr>
      </w:pPr>
      <w:r>
        <w:rPr>
          <w:b/>
          <w:bCs/>
          <w:sz w:val="22"/>
          <w:szCs w:val="22"/>
        </w:rPr>
        <w:t>1. UVODNA POJASNILA</w:t>
      </w:r>
    </w:p>
    <w:p w:rsidR="00E4408D" w:rsidRDefault="00E4408D">
      <w:pPr>
        <w:autoSpaceDE w:val="0"/>
        <w:rPr>
          <w:b/>
          <w:bCs/>
          <w:sz w:val="22"/>
          <w:szCs w:val="22"/>
        </w:rPr>
      </w:pPr>
    </w:p>
    <w:p w:rsidR="00E4408D" w:rsidRDefault="00BE7220">
      <w:pPr>
        <w:pStyle w:val="Default"/>
        <w:numPr>
          <w:ilvl w:val="0"/>
          <w:numId w:val="1"/>
        </w:numPr>
        <w:jc w:val="both"/>
      </w:pPr>
      <w:r>
        <w:t>Družba pripravlja Vmesno poročilo poslovodstva na podlagi 114. člena Zakona o trgu finančnih instrumentov (</w:t>
      </w:r>
      <w:proofErr w:type="spellStart"/>
      <w:r>
        <w:t>Ur.list</w:t>
      </w:r>
      <w:proofErr w:type="spellEnd"/>
      <w:r>
        <w:t xml:space="preserve">, št. 67/07 s spremembami). </w:t>
      </w:r>
    </w:p>
    <w:p w:rsidR="00E4408D" w:rsidRDefault="00BE7220">
      <w:pPr>
        <w:pStyle w:val="Default"/>
        <w:numPr>
          <w:ilvl w:val="0"/>
          <w:numId w:val="1"/>
        </w:numPr>
        <w:jc w:val="both"/>
      </w:pPr>
      <w:r>
        <w:t xml:space="preserve">Poročilo je pripravljeno za obdobje od 1.1.2015 do 8.5.2015 (dan objave poročila). </w:t>
      </w:r>
    </w:p>
    <w:p w:rsidR="00E4408D" w:rsidRDefault="00BE7220">
      <w:pPr>
        <w:pStyle w:val="Default"/>
        <w:numPr>
          <w:ilvl w:val="0"/>
          <w:numId w:val="1"/>
        </w:numPr>
        <w:jc w:val="both"/>
      </w:pPr>
      <w:r>
        <w:t xml:space="preserve">Družba v skladu z veljavno zakonodajo o vseh pomembnih pravnih in poslovnih dogodkih, povezanih s poslovanjem družbe, obvešča Agencijo za trg vrednostnih papirjev, Ljubljansko borzo in javnost (v SEO-netu Ljubljanske borze </w:t>
      </w:r>
      <w:proofErr w:type="spellStart"/>
      <w:r>
        <w:t>d.d</w:t>
      </w:r>
      <w:proofErr w:type="spellEnd"/>
      <w:r>
        <w:t xml:space="preserve">. ter na svoji spletni stran </w:t>
      </w:r>
      <w:hyperlink r:id="rId7">
        <w:r>
          <w:rPr>
            <w:rStyle w:val="Spletnapovezava"/>
          </w:rPr>
          <w:t>www.ml-holding.si</w:t>
        </w:r>
      </w:hyperlink>
      <w:r>
        <w:t>) .</w:t>
      </w:r>
    </w:p>
    <w:p w:rsidR="00E4408D" w:rsidRDefault="00E4408D">
      <w:pPr>
        <w:autoSpaceDE w:val="0"/>
        <w:rPr>
          <w:b/>
          <w:bCs/>
          <w:sz w:val="22"/>
          <w:szCs w:val="22"/>
        </w:rPr>
      </w:pPr>
    </w:p>
    <w:p w:rsidR="00E4408D" w:rsidRDefault="00E4408D">
      <w:pPr>
        <w:autoSpaceDE w:val="0"/>
        <w:rPr>
          <w:b/>
          <w:bCs/>
          <w:sz w:val="22"/>
          <w:szCs w:val="22"/>
        </w:rPr>
      </w:pPr>
    </w:p>
    <w:p w:rsidR="00E4408D" w:rsidRDefault="00BE7220">
      <w:pPr>
        <w:autoSpaceDE w:val="0"/>
        <w:rPr>
          <w:b/>
          <w:bCs/>
        </w:rPr>
      </w:pPr>
      <w:r>
        <w:rPr>
          <w:b/>
          <w:bCs/>
        </w:rPr>
        <w:tab/>
        <w:t>2. OSEBNA IZKAZNICA DRUŽBE MODRA LINIJA HOLDING, D.D., KOPER.</w:t>
      </w:r>
    </w:p>
    <w:p w:rsidR="00E4408D" w:rsidRDefault="00E4408D">
      <w:pPr>
        <w:autoSpaceDE w:val="0"/>
        <w:rPr>
          <w:b/>
          <w:bCs/>
        </w:rPr>
      </w:pPr>
    </w:p>
    <w:p w:rsidR="00E4408D" w:rsidRDefault="00BE7220">
      <w:pPr>
        <w:numPr>
          <w:ilvl w:val="0"/>
          <w:numId w:val="2"/>
        </w:numPr>
        <w:autoSpaceDE w:val="0"/>
      </w:pPr>
      <w:r>
        <w:t>Ime družbe: Modra linija holding, finan</w:t>
      </w:r>
      <w:r>
        <w:rPr>
          <w:rFonts w:ascii="TimesNewRoman" w:hAnsi="TimesNewRoman" w:cs="TimesNewRoman"/>
        </w:rPr>
        <w:t>č</w:t>
      </w:r>
      <w:r>
        <w:t xml:space="preserve">na družba, </w:t>
      </w:r>
      <w:proofErr w:type="spellStart"/>
      <w:r>
        <w:t>d.d</w:t>
      </w:r>
      <w:proofErr w:type="spellEnd"/>
      <w:r>
        <w:t>.</w:t>
      </w:r>
    </w:p>
    <w:p w:rsidR="00E4408D" w:rsidRDefault="00BE7220">
      <w:pPr>
        <w:numPr>
          <w:ilvl w:val="0"/>
          <w:numId w:val="2"/>
        </w:numPr>
        <w:autoSpaceDE w:val="0"/>
      </w:pPr>
      <w:r>
        <w:t xml:space="preserve">Skrajšano ime družbe: Modra linija holding </w:t>
      </w:r>
      <w:proofErr w:type="spellStart"/>
      <w:r>
        <w:t>d.d</w:t>
      </w:r>
      <w:proofErr w:type="spellEnd"/>
      <w:r>
        <w:t>.</w:t>
      </w:r>
    </w:p>
    <w:p w:rsidR="00E4408D" w:rsidRDefault="00BE7220">
      <w:pPr>
        <w:numPr>
          <w:ilvl w:val="0"/>
          <w:numId w:val="2"/>
        </w:numPr>
        <w:autoSpaceDE w:val="0"/>
      </w:pPr>
      <w:r>
        <w:t>Matična številka: 1465821</w:t>
      </w:r>
    </w:p>
    <w:p w:rsidR="00E4408D" w:rsidRDefault="00BE7220">
      <w:pPr>
        <w:numPr>
          <w:ilvl w:val="0"/>
          <w:numId w:val="2"/>
        </w:numPr>
        <w:autoSpaceDE w:val="0"/>
      </w:pPr>
      <w:r>
        <w:t>Davčna številka: 89871138</w:t>
      </w:r>
    </w:p>
    <w:p w:rsidR="00E4408D" w:rsidRDefault="00BE7220">
      <w:pPr>
        <w:numPr>
          <w:ilvl w:val="0"/>
          <w:numId w:val="2"/>
        </w:numPr>
        <w:autoSpaceDE w:val="0"/>
      </w:pPr>
      <w:r>
        <w:t>Številka vpisa v sodni register: 10636600</w:t>
      </w:r>
    </w:p>
    <w:p w:rsidR="00E4408D" w:rsidRDefault="00BE7220">
      <w:pPr>
        <w:numPr>
          <w:ilvl w:val="0"/>
          <w:numId w:val="2"/>
        </w:numPr>
        <w:autoSpaceDE w:val="0"/>
      </w:pPr>
      <w:r>
        <w:t>Datum vpisa v sodni register: 25.10.2002</w:t>
      </w:r>
    </w:p>
    <w:p w:rsidR="00E4408D" w:rsidRDefault="00BE7220">
      <w:pPr>
        <w:numPr>
          <w:ilvl w:val="0"/>
          <w:numId w:val="2"/>
        </w:numPr>
        <w:autoSpaceDE w:val="0"/>
      </w:pPr>
      <w:r>
        <w:t>Glavna dejavnost: dejavnost holdingov</w:t>
      </w:r>
    </w:p>
    <w:p w:rsidR="00E4408D" w:rsidRDefault="00BE7220">
      <w:pPr>
        <w:numPr>
          <w:ilvl w:val="0"/>
          <w:numId w:val="2"/>
        </w:numPr>
        <w:autoSpaceDE w:val="0"/>
      </w:pPr>
      <w:r>
        <w:t>Število kosovnih delnic družbe: 3.199.932</w:t>
      </w:r>
    </w:p>
    <w:p w:rsidR="00E4408D" w:rsidRDefault="00BE7220">
      <w:pPr>
        <w:numPr>
          <w:ilvl w:val="0"/>
          <w:numId w:val="2"/>
        </w:numPr>
        <w:autoSpaceDE w:val="0"/>
      </w:pPr>
      <w:r>
        <w:t xml:space="preserve">Spletna stran: </w:t>
      </w:r>
      <w:hyperlink r:id="rId8">
        <w:r>
          <w:rPr>
            <w:rStyle w:val="Spletnapovezava"/>
          </w:rPr>
          <w:t>www.ml-holding.si</w:t>
        </w:r>
      </w:hyperlink>
      <w:r>
        <w:t xml:space="preserve"> </w:t>
      </w:r>
    </w:p>
    <w:p w:rsidR="00E4408D" w:rsidRDefault="00E4408D">
      <w:pPr>
        <w:autoSpaceDE w:val="0"/>
      </w:pPr>
    </w:p>
    <w:p w:rsidR="00E4408D" w:rsidRDefault="00E4408D">
      <w:pPr>
        <w:autoSpaceDE w:val="0"/>
      </w:pPr>
    </w:p>
    <w:p w:rsidR="00E4408D" w:rsidRDefault="00BE7220">
      <w:pPr>
        <w:autoSpaceDE w:val="0"/>
        <w:rPr>
          <w:b/>
          <w:bCs/>
        </w:rPr>
      </w:pPr>
      <w:r>
        <w:rPr>
          <w:b/>
          <w:bCs/>
        </w:rPr>
        <w:tab/>
        <w:t>3. SKUPINA MODRA LINIJA HOLDING</w:t>
      </w:r>
    </w:p>
    <w:p w:rsidR="00E4408D" w:rsidRDefault="00E4408D">
      <w:pPr>
        <w:autoSpaceDE w:val="0"/>
      </w:pPr>
    </w:p>
    <w:p w:rsidR="00E4408D" w:rsidRDefault="00BE7220">
      <w:pPr>
        <w:autoSpaceDE w:val="0"/>
      </w:pPr>
      <w:r>
        <w:tab/>
        <w:t>Skupino Modra linija holding sestavljajo na dan 08.05.2015 naslednje družbe:</w:t>
      </w:r>
    </w:p>
    <w:p w:rsidR="00E4408D" w:rsidRDefault="00BE7220">
      <w:pPr>
        <w:numPr>
          <w:ilvl w:val="0"/>
          <w:numId w:val="3"/>
        </w:numPr>
        <w:autoSpaceDE w:val="0"/>
      </w:pPr>
      <w:r>
        <w:t xml:space="preserve">Modra linija holding, finančna družba, </w:t>
      </w:r>
      <w:proofErr w:type="spellStart"/>
      <w:r>
        <w:t>d.d</w:t>
      </w:r>
      <w:proofErr w:type="spellEnd"/>
      <w:r>
        <w:t>., Pristaniška 12, Koper, kot matična družba in večinska lastnica odvisnih družb.</w:t>
      </w:r>
    </w:p>
    <w:p w:rsidR="00E4408D" w:rsidRDefault="00BE7220">
      <w:pPr>
        <w:numPr>
          <w:ilvl w:val="0"/>
          <w:numId w:val="3"/>
        </w:numPr>
        <w:autoSpaceDE w:val="0"/>
      </w:pPr>
      <w:r>
        <w:t>odvisne družbe</w:t>
      </w:r>
    </w:p>
    <w:p w:rsidR="00E4408D" w:rsidRDefault="00BE7220">
      <w:pPr>
        <w:numPr>
          <w:ilvl w:val="1"/>
          <w:numId w:val="3"/>
        </w:numPr>
        <w:autoSpaceDE w:val="0"/>
      </w:pPr>
      <w:r>
        <w:t xml:space="preserve">Primorski skladi, </w:t>
      </w:r>
      <w:proofErr w:type="spellStart"/>
      <w:r>
        <w:t>d.d</w:t>
      </w:r>
      <w:proofErr w:type="spellEnd"/>
      <w:r>
        <w:t>., Pristaniška ulica 12, Koper, v 100,00% lasti holdinga.</w:t>
      </w:r>
    </w:p>
    <w:p w:rsidR="00E4408D" w:rsidRDefault="00BE7220">
      <w:pPr>
        <w:numPr>
          <w:ilvl w:val="1"/>
          <w:numId w:val="3"/>
        </w:numPr>
        <w:autoSpaceDE w:val="0"/>
      </w:pPr>
      <w:r>
        <w:t xml:space="preserve">TRGO ABC, prodajno servisni center, </w:t>
      </w:r>
      <w:proofErr w:type="spellStart"/>
      <w:r>
        <w:t>d.o.o</w:t>
      </w:r>
      <w:proofErr w:type="spellEnd"/>
      <w:r>
        <w:t xml:space="preserve">., Istrska c. 12, Koper,  v 100,00% lasti holdinga. </w:t>
      </w:r>
    </w:p>
    <w:p w:rsidR="00E4408D" w:rsidRDefault="00BE7220">
      <w:pPr>
        <w:numPr>
          <w:ilvl w:val="1"/>
          <w:numId w:val="3"/>
        </w:numPr>
        <w:autoSpaceDE w:val="0"/>
      </w:pPr>
      <w:proofErr w:type="spellStart"/>
      <w:r>
        <w:t>Avtofin</w:t>
      </w:r>
      <w:proofErr w:type="spellEnd"/>
      <w:r>
        <w:t xml:space="preserve"> strokovne storitve, svetovanje in trgovina, </w:t>
      </w:r>
      <w:proofErr w:type="spellStart"/>
      <w:r>
        <w:t>d.o.o</w:t>
      </w:r>
      <w:proofErr w:type="spellEnd"/>
      <w:r>
        <w:t>., V. Vodopivca 2, Nova Gorica, v 100,00% lasti holdinga.</w:t>
      </w:r>
    </w:p>
    <w:p w:rsidR="00E4408D" w:rsidRDefault="00BE7220">
      <w:pPr>
        <w:numPr>
          <w:ilvl w:val="1"/>
          <w:numId w:val="3"/>
        </w:numPr>
        <w:autoSpaceDE w:val="0"/>
      </w:pPr>
      <w:r>
        <w:t xml:space="preserve">AVTOPRIM, prodajno servisni center </w:t>
      </w:r>
      <w:proofErr w:type="spellStart"/>
      <w:r>
        <w:t>d.o.o</w:t>
      </w:r>
      <w:proofErr w:type="spellEnd"/>
      <w:r>
        <w:t>.,  Istrska cesta 12, Koper, v 100,00% lasti holdinga.</w:t>
      </w:r>
    </w:p>
    <w:p w:rsidR="00E4408D" w:rsidRDefault="00BE7220">
      <w:pPr>
        <w:numPr>
          <w:ilvl w:val="1"/>
          <w:numId w:val="3"/>
        </w:numPr>
        <w:autoSpaceDE w:val="0"/>
      </w:pPr>
      <w:r>
        <w:lastRenderedPageBreak/>
        <w:t xml:space="preserve">Primorski finančni center </w:t>
      </w:r>
      <w:proofErr w:type="spellStart"/>
      <w:r>
        <w:t>Interfin</w:t>
      </w:r>
      <w:proofErr w:type="spellEnd"/>
      <w:r>
        <w:t xml:space="preserve">, finančna družba </w:t>
      </w:r>
      <w:proofErr w:type="spellStart"/>
      <w:r>
        <w:t>d.o.o</w:t>
      </w:r>
      <w:proofErr w:type="spellEnd"/>
      <w:r>
        <w:t xml:space="preserve">., Pristaniška ulica 12, Koper, v 100,00% lasti holdinga. </w:t>
      </w:r>
    </w:p>
    <w:p w:rsidR="00E4408D" w:rsidRDefault="00BE7220">
      <w:pPr>
        <w:numPr>
          <w:ilvl w:val="0"/>
          <w:numId w:val="4"/>
        </w:numPr>
        <w:autoSpaceDE w:val="0"/>
      </w:pPr>
      <w:r>
        <w:t>pridružene družbe</w:t>
      </w:r>
    </w:p>
    <w:p w:rsidR="00E4408D" w:rsidRDefault="00BE7220">
      <w:pPr>
        <w:numPr>
          <w:ilvl w:val="1"/>
          <w:numId w:val="4"/>
        </w:numPr>
        <w:autoSpaceDE w:val="0"/>
      </w:pPr>
      <w:proofErr w:type="spellStart"/>
      <w:r>
        <w:t>Mitol</w:t>
      </w:r>
      <w:proofErr w:type="spellEnd"/>
      <w:r>
        <w:t xml:space="preserve">, tovarna lepil, </w:t>
      </w:r>
      <w:proofErr w:type="spellStart"/>
      <w:r>
        <w:t>d.d</w:t>
      </w:r>
      <w:proofErr w:type="spellEnd"/>
      <w:r>
        <w:t xml:space="preserve">. Sežana </w:t>
      </w:r>
    </w:p>
    <w:p w:rsidR="00E4408D" w:rsidRDefault="00BE7220">
      <w:pPr>
        <w:numPr>
          <w:ilvl w:val="1"/>
          <w:numId w:val="4"/>
        </w:numPr>
        <w:autoSpaceDE w:val="0"/>
      </w:pPr>
      <w:r>
        <w:t xml:space="preserve">Alpetour-potovalna agencija </w:t>
      </w:r>
      <w:proofErr w:type="spellStart"/>
      <w:r>
        <w:t>d.d</w:t>
      </w:r>
      <w:proofErr w:type="spellEnd"/>
      <w:r>
        <w:t>. Kranj.</w:t>
      </w:r>
    </w:p>
    <w:p w:rsidR="00E4408D" w:rsidRDefault="00E4408D">
      <w:pPr>
        <w:autoSpaceDE w:val="0"/>
      </w:pPr>
    </w:p>
    <w:p w:rsidR="00E4408D" w:rsidRDefault="00E4408D">
      <w:pPr>
        <w:autoSpaceDE w:val="0"/>
      </w:pPr>
    </w:p>
    <w:p w:rsidR="00E4408D" w:rsidRDefault="00BE7220">
      <w:pPr>
        <w:autoSpaceDE w:val="0"/>
        <w:rPr>
          <w:b/>
          <w:bCs/>
        </w:rPr>
      </w:pPr>
      <w:r>
        <w:rPr>
          <w:b/>
          <w:bCs/>
        </w:rPr>
        <w:tab/>
        <w:t>4. LASTNIŠKA STRUKTURA</w:t>
      </w:r>
    </w:p>
    <w:p w:rsidR="00E4408D" w:rsidRDefault="00E4408D">
      <w:pPr>
        <w:autoSpaceDE w:val="0"/>
        <w:rPr>
          <w:b/>
          <w:bCs/>
        </w:rPr>
      </w:pPr>
    </w:p>
    <w:p w:rsidR="00E4408D" w:rsidRDefault="00BE7220">
      <w:pPr>
        <w:numPr>
          <w:ilvl w:val="0"/>
          <w:numId w:val="5"/>
        </w:numPr>
        <w:autoSpaceDE w:val="0"/>
        <w:rPr>
          <w:bCs/>
        </w:rPr>
      </w:pPr>
      <w:r>
        <w:rPr>
          <w:bCs/>
        </w:rPr>
        <w:t xml:space="preserve">Lastninska struktura se od 01.01.2015 ni bistveno spreminjala. </w:t>
      </w:r>
    </w:p>
    <w:p w:rsidR="00E4408D" w:rsidRDefault="00BE7220">
      <w:pPr>
        <w:numPr>
          <w:ilvl w:val="0"/>
          <w:numId w:val="5"/>
        </w:numPr>
        <w:autoSpaceDE w:val="0"/>
        <w:rPr>
          <w:bCs/>
        </w:rPr>
      </w:pPr>
      <w:r>
        <w:rPr>
          <w:bCs/>
        </w:rPr>
        <w:t xml:space="preserve">Večinski lastnik FP, </w:t>
      </w:r>
      <w:proofErr w:type="spellStart"/>
      <w:r>
        <w:rPr>
          <w:bCs/>
        </w:rPr>
        <w:t>d.o.o</w:t>
      </w:r>
      <w:proofErr w:type="spellEnd"/>
      <w:r>
        <w:rPr>
          <w:bCs/>
        </w:rPr>
        <w:t>. Koper je v tem času še nekoliko povečal svoj delež v kapitalu družbe in sicer na 2.648.278 delnic, kar je 82,76%</w:t>
      </w:r>
    </w:p>
    <w:p w:rsidR="00E4408D" w:rsidRDefault="00BE7220">
      <w:pPr>
        <w:numPr>
          <w:ilvl w:val="0"/>
          <w:numId w:val="5"/>
        </w:numPr>
        <w:autoSpaceDE w:val="0"/>
        <w:rPr>
          <w:bCs/>
        </w:rPr>
      </w:pPr>
      <w:r>
        <w:rPr>
          <w:bCs/>
        </w:rPr>
        <w:t xml:space="preserve">Družba sama ima v lasti 274.523 ali 8,58% lastnih delnic, ki jih je pridobila v procesu pripojitve družbe </w:t>
      </w:r>
      <w:proofErr w:type="spellStart"/>
      <w:r>
        <w:rPr>
          <w:bCs/>
        </w:rPr>
        <w:t>Interfin</w:t>
      </w:r>
      <w:proofErr w:type="spellEnd"/>
      <w:r>
        <w:rPr>
          <w:bCs/>
        </w:rPr>
        <w:t xml:space="preserve"> naložbe, </w:t>
      </w:r>
      <w:proofErr w:type="spellStart"/>
      <w:r>
        <w:rPr>
          <w:bCs/>
        </w:rPr>
        <w:t>d.d</w:t>
      </w:r>
      <w:proofErr w:type="spellEnd"/>
      <w:r>
        <w:rPr>
          <w:bCs/>
        </w:rPr>
        <w:t>., Koper leta 2014.</w:t>
      </w:r>
    </w:p>
    <w:p w:rsidR="00E4408D" w:rsidRDefault="00BE7220">
      <w:pPr>
        <w:numPr>
          <w:ilvl w:val="0"/>
          <w:numId w:val="5"/>
        </w:numPr>
        <w:autoSpaceDE w:val="0"/>
        <w:rPr>
          <w:bCs/>
        </w:rPr>
      </w:pPr>
      <w:r>
        <w:rPr>
          <w:bCs/>
        </w:rPr>
        <w:t>Število delničarjev se je nekoliko zmanjšalo, tako da ima družba na dan objave poročila 8.770 lastnikov.</w:t>
      </w:r>
    </w:p>
    <w:p w:rsidR="00E4408D" w:rsidRDefault="00E4408D">
      <w:pPr>
        <w:autoSpaceDE w:val="0"/>
      </w:pPr>
    </w:p>
    <w:p w:rsidR="00E4408D" w:rsidRDefault="00E4408D">
      <w:pPr>
        <w:autoSpaceDE w:val="0"/>
      </w:pPr>
    </w:p>
    <w:p w:rsidR="00E4408D" w:rsidRDefault="00BE7220">
      <w:pPr>
        <w:autoSpaceDE w:val="0"/>
        <w:rPr>
          <w:b/>
        </w:rPr>
      </w:pPr>
      <w:r>
        <w:rPr>
          <w:b/>
        </w:rPr>
        <w:tab/>
        <w:t>5. TEČAJ DELNICE</w:t>
      </w:r>
    </w:p>
    <w:p w:rsidR="00E4408D" w:rsidRDefault="00E4408D">
      <w:pPr>
        <w:autoSpaceDE w:val="0"/>
        <w:rPr>
          <w:b/>
        </w:rPr>
      </w:pPr>
    </w:p>
    <w:p w:rsidR="00E4408D" w:rsidRDefault="00BE7220">
      <w:pPr>
        <w:numPr>
          <w:ilvl w:val="0"/>
          <w:numId w:val="6"/>
        </w:numPr>
        <w:autoSpaceDE w:val="0"/>
      </w:pPr>
      <w:r>
        <w:t xml:space="preserve">Delnica družbe kotira pod oznako MLHR na Ljubljanski borzi vrednostnih papirjev. Tečaj delnice MLHR se je v omenjenem obdobju gibal med  6,25 EUR in 7,00 EUR  za delnico. Trenutna cena delnice znaša 6,25 EUR. </w:t>
      </w:r>
    </w:p>
    <w:p w:rsidR="00E4408D" w:rsidRDefault="00BE7220">
      <w:pPr>
        <w:numPr>
          <w:ilvl w:val="0"/>
          <w:numId w:val="6"/>
        </w:numPr>
        <w:autoSpaceDE w:val="0"/>
      </w:pPr>
      <w:r>
        <w:t>Promet je bil minimalen in je v času od 1.1.2015 pa do dne objave poročila znašal 2.435 lotov.</w:t>
      </w:r>
    </w:p>
    <w:p w:rsidR="00E4408D" w:rsidRDefault="00E4408D"/>
    <w:p w:rsidR="00E4408D" w:rsidRDefault="00E4408D"/>
    <w:p w:rsidR="00E4408D" w:rsidRDefault="00BE7220">
      <w:pPr>
        <w:jc w:val="both"/>
        <w:rPr>
          <w:b/>
          <w:bCs/>
        </w:rPr>
      </w:pPr>
      <w:r>
        <w:rPr>
          <w:b/>
          <w:bCs/>
        </w:rPr>
        <w:tab/>
        <w:t xml:space="preserve">6. RAZLAGA VSEH POMEMBNEJŠIH POSLOVNIH DOGODKOV V </w:t>
      </w:r>
      <w:r>
        <w:rPr>
          <w:b/>
          <w:bCs/>
        </w:rPr>
        <w:tab/>
        <w:t xml:space="preserve">OBRAVNAVANEM OBDOBJU IN NJIHOV VPLIV NA FINANČNI POLOŽAJ </w:t>
      </w:r>
      <w:r>
        <w:rPr>
          <w:b/>
          <w:bCs/>
        </w:rPr>
        <w:tab/>
        <w:t>DRUŽBE IN NJENIH ODVISNIH DRUŽB</w:t>
      </w:r>
    </w:p>
    <w:p w:rsidR="00E4408D" w:rsidRDefault="00E4408D">
      <w:pPr>
        <w:pStyle w:val="Telobesedila"/>
      </w:pPr>
    </w:p>
    <w:p w:rsidR="00E4408D" w:rsidRDefault="00BE7220">
      <w:pPr>
        <w:pStyle w:val="Telobesedila"/>
        <w:rPr>
          <w:b w:val="0"/>
          <w:bCs w:val="0"/>
        </w:rPr>
      </w:pPr>
      <w:r>
        <w:rPr>
          <w:b w:val="0"/>
          <w:bCs w:val="0"/>
        </w:rPr>
        <w:tab/>
        <w:t xml:space="preserve">V času, ki je predmet poročanja, se je uprava ukvarjala s tekočimi posli, ki so povezani z </w:t>
      </w:r>
      <w:r>
        <w:rPr>
          <w:b w:val="0"/>
          <w:bCs w:val="0"/>
        </w:rPr>
        <w:tab/>
        <w:t xml:space="preserve">aktivnim upravljanjem družb v portfelju, z nepremičninami, s tržnimi naložbami ter </w:t>
      </w:r>
      <w:r>
        <w:rPr>
          <w:b w:val="0"/>
          <w:bCs w:val="0"/>
        </w:rPr>
        <w:tab/>
        <w:t xml:space="preserve">upravljanju z viri. </w:t>
      </w:r>
    </w:p>
    <w:p w:rsidR="00E4408D" w:rsidRDefault="00141205">
      <w:pPr>
        <w:pStyle w:val="Telobesedila"/>
        <w:numPr>
          <w:ilvl w:val="0"/>
          <w:numId w:val="10"/>
        </w:numPr>
        <w:rPr>
          <w:b w:val="0"/>
          <w:bCs w:val="0"/>
        </w:rPr>
      </w:pPr>
      <w:r>
        <w:rPr>
          <w:b w:val="0"/>
          <w:bCs w:val="0"/>
        </w:rPr>
        <w:t>U</w:t>
      </w:r>
      <w:r w:rsidR="00BE7220">
        <w:rPr>
          <w:b w:val="0"/>
          <w:bCs w:val="0"/>
        </w:rPr>
        <w:t xml:space="preserve">pravljanje družb v portfelju: upravljanje je potekalo pretežno v okviru standardnega delovanja. Družba v </w:t>
      </w:r>
      <w:r>
        <w:rPr>
          <w:b w:val="0"/>
          <w:bCs w:val="0"/>
        </w:rPr>
        <w:t>obdobju</w:t>
      </w:r>
      <w:r w:rsidR="00BE7220">
        <w:rPr>
          <w:b w:val="0"/>
          <w:bCs w:val="0"/>
        </w:rPr>
        <w:t xml:space="preserve"> poročila ni spreminjala svojih deležev v omenjenih družbah</w:t>
      </w:r>
      <w:r>
        <w:rPr>
          <w:b w:val="0"/>
          <w:bCs w:val="0"/>
        </w:rPr>
        <w:t>:</w:t>
      </w:r>
    </w:p>
    <w:p w:rsidR="00E4408D" w:rsidRDefault="00BE7220">
      <w:pPr>
        <w:pStyle w:val="Telobesedila"/>
        <w:numPr>
          <w:ilvl w:val="1"/>
          <w:numId w:val="7"/>
        </w:numPr>
        <w:rPr>
          <w:b w:val="0"/>
          <w:bCs w:val="0"/>
        </w:rPr>
      </w:pPr>
      <w:r>
        <w:rPr>
          <w:b w:val="0"/>
          <w:bCs w:val="0"/>
        </w:rPr>
        <w:t xml:space="preserve">družba iz tega dela svojega portfelja v </w:t>
      </w:r>
      <w:proofErr w:type="spellStart"/>
      <w:r>
        <w:rPr>
          <w:b w:val="0"/>
          <w:bCs w:val="0"/>
        </w:rPr>
        <w:t>ogledanem</w:t>
      </w:r>
      <w:proofErr w:type="spellEnd"/>
      <w:r>
        <w:rPr>
          <w:b w:val="0"/>
          <w:bCs w:val="0"/>
        </w:rPr>
        <w:t xml:space="preserve"> času ni beležila prihodkov, ki imajo v tem segmentu obliko di</w:t>
      </w:r>
      <w:r w:rsidR="00141205">
        <w:rPr>
          <w:b w:val="0"/>
          <w:bCs w:val="0"/>
        </w:rPr>
        <w:t>vidend ali kapitalskih dobičkov;</w:t>
      </w:r>
    </w:p>
    <w:p w:rsidR="00E4408D" w:rsidRDefault="00BE7220">
      <w:pPr>
        <w:pStyle w:val="Telobesedila"/>
        <w:numPr>
          <w:ilvl w:val="1"/>
          <w:numId w:val="7"/>
        </w:numPr>
        <w:rPr>
          <w:b w:val="0"/>
          <w:bCs w:val="0"/>
        </w:rPr>
      </w:pPr>
      <w:r>
        <w:rPr>
          <w:b w:val="0"/>
          <w:bCs w:val="0"/>
        </w:rPr>
        <w:t xml:space="preserve">kvaliteta poslovanja se je v načelu izboljšala. Podjetja poslujejo enako ali bolje kot v enakem obdobju lani. </w:t>
      </w:r>
      <w:r w:rsidR="00141205">
        <w:rPr>
          <w:b w:val="0"/>
          <w:bCs w:val="0"/>
        </w:rPr>
        <w:t>P</w:t>
      </w:r>
      <w:r>
        <w:rPr>
          <w:b w:val="0"/>
          <w:bCs w:val="0"/>
        </w:rPr>
        <w:t>omembno</w:t>
      </w:r>
      <w:r w:rsidR="00141205">
        <w:rPr>
          <w:b w:val="0"/>
          <w:bCs w:val="0"/>
        </w:rPr>
        <w:t xml:space="preserve"> je</w:t>
      </w:r>
      <w:r>
        <w:rPr>
          <w:b w:val="0"/>
          <w:bCs w:val="0"/>
        </w:rPr>
        <w:t>, da se je izboljšalo poslovanje v najbolj izpostavljenem segmentu prodaje in servisiranja motornih vozil</w:t>
      </w:r>
      <w:r w:rsidR="00141205">
        <w:rPr>
          <w:b w:val="0"/>
          <w:bCs w:val="0"/>
        </w:rPr>
        <w:t>;</w:t>
      </w:r>
    </w:p>
    <w:p w:rsidR="00E4408D" w:rsidRDefault="00BE7220">
      <w:pPr>
        <w:pStyle w:val="Telobesedila"/>
        <w:numPr>
          <w:ilvl w:val="1"/>
          <w:numId w:val="7"/>
        </w:numPr>
        <w:rPr>
          <w:b w:val="0"/>
          <w:bCs w:val="0"/>
        </w:rPr>
      </w:pPr>
      <w:r>
        <w:rPr>
          <w:b w:val="0"/>
          <w:bCs w:val="0"/>
        </w:rPr>
        <w:lastRenderedPageBreak/>
        <w:t xml:space="preserve">družba je dne 7.4.2015 podpisala kot član prodajnega konzorcija predhodni dogovor, </w:t>
      </w:r>
      <w:proofErr w:type="spellStart"/>
      <w:r>
        <w:rPr>
          <w:b w:val="0"/>
          <w:bCs w:val="0"/>
        </w:rPr>
        <w:t>t.i</w:t>
      </w:r>
      <w:proofErr w:type="spellEnd"/>
      <w:r>
        <w:rPr>
          <w:b w:val="0"/>
          <w:bCs w:val="0"/>
        </w:rPr>
        <w:t>. »</w:t>
      </w:r>
      <w:proofErr w:type="spellStart"/>
      <w:r>
        <w:rPr>
          <w:b w:val="0"/>
          <w:bCs w:val="0"/>
        </w:rPr>
        <w:t>Transaction</w:t>
      </w:r>
      <w:proofErr w:type="spellEnd"/>
      <w:r>
        <w:rPr>
          <w:b w:val="0"/>
          <w:bCs w:val="0"/>
        </w:rPr>
        <w:t xml:space="preserve"> </w:t>
      </w:r>
      <w:proofErr w:type="spellStart"/>
      <w:r>
        <w:rPr>
          <w:b w:val="0"/>
          <w:bCs w:val="0"/>
        </w:rPr>
        <w:t>Agrement</w:t>
      </w:r>
      <w:proofErr w:type="spellEnd"/>
      <w:r>
        <w:rPr>
          <w:b w:val="0"/>
          <w:bCs w:val="0"/>
        </w:rPr>
        <w:t>«, kar j</w:t>
      </w:r>
      <w:r w:rsidR="00141205">
        <w:rPr>
          <w:b w:val="0"/>
          <w:bCs w:val="0"/>
        </w:rPr>
        <w:t xml:space="preserve"> pri</w:t>
      </w:r>
      <w:r>
        <w:rPr>
          <w:b w:val="0"/>
          <w:bCs w:val="0"/>
        </w:rPr>
        <w:t xml:space="preserve"> izpolnitvi </w:t>
      </w:r>
      <w:proofErr w:type="spellStart"/>
      <w:r>
        <w:rPr>
          <w:b w:val="0"/>
          <w:bCs w:val="0"/>
        </w:rPr>
        <w:t>odložnih</w:t>
      </w:r>
      <w:proofErr w:type="spellEnd"/>
      <w:r>
        <w:rPr>
          <w:b w:val="0"/>
          <w:bCs w:val="0"/>
        </w:rPr>
        <w:t xml:space="preserve"> pogojev zagotavlja potencialno prevzemno ponudbo s strani družbe DB </w:t>
      </w:r>
      <w:proofErr w:type="spellStart"/>
      <w:r>
        <w:rPr>
          <w:b w:val="0"/>
          <w:bCs w:val="0"/>
        </w:rPr>
        <w:t>Arriva</w:t>
      </w:r>
      <w:proofErr w:type="spellEnd"/>
      <w:r>
        <w:rPr>
          <w:b w:val="0"/>
          <w:bCs w:val="0"/>
        </w:rPr>
        <w:t xml:space="preserve"> za delnice družbe Alpetour, ki so v njeni lasti in sicer po ceni 55 eur za eno delnico. Pričakuje se, da bo transakcija realizirana v l.2015, kar bo pozitivno vplivalo na poslovni izid družbe. Rast vrednosti omenjene delnice pa se že sedaj pozna v povišani vrednosti </w:t>
      </w:r>
      <w:r w:rsidR="00141205">
        <w:rPr>
          <w:b w:val="0"/>
          <w:bCs w:val="0"/>
        </w:rPr>
        <w:t>kapitala družbe v izkazu stanja.</w:t>
      </w:r>
    </w:p>
    <w:p w:rsidR="00E4408D" w:rsidRDefault="00141205">
      <w:pPr>
        <w:pStyle w:val="Telobesedila"/>
        <w:numPr>
          <w:ilvl w:val="0"/>
          <w:numId w:val="7"/>
        </w:numPr>
        <w:rPr>
          <w:b w:val="0"/>
          <w:bCs w:val="0"/>
        </w:rPr>
      </w:pPr>
      <w:r>
        <w:rPr>
          <w:b w:val="0"/>
          <w:bCs w:val="0"/>
        </w:rPr>
        <w:t>P</w:t>
      </w:r>
      <w:r w:rsidR="00BE7220">
        <w:rPr>
          <w:b w:val="0"/>
          <w:bCs w:val="0"/>
        </w:rPr>
        <w:t>oslovanje z nepremičninami je potekalo v skladu z začrtano dinamiko. Družba v času od 1.1.2015 pa do dne objave tega poročila ni spreminjala svojega portfelja nepremičnin. Je pa le-te učinkoviteje obvladovala, kar se kaže tudi v povečanih prihodkih iz naslova najemnin. Še vedno obstaja problem nerednega plačevanja najemnikov, vendar družba z aktivnimi pristopi k izterjavi nima bistvenih problematičnih terjatve iz tega naslova.</w:t>
      </w:r>
    </w:p>
    <w:p w:rsidR="00E4408D" w:rsidRDefault="00141205">
      <w:pPr>
        <w:pStyle w:val="Telobesedila"/>
        <w:numPr>
          <w:ilvl w:val="0"/>
          <w:numId w:val="7"/>
        </w:numPr>
        <w:rPr>
          <w:b w:val="0"/>
          <w:bCs w:val="0"/>
        </w:rPr>
      </w:pPr>
      <w:r>
        <w:rPr>
          <w:b w:val="0"/>
          <w:bCs w:val="0"/>
        </w:rPr>
        <w:t>V</w:t>
      </w:r>
      <w:r w:rsidR="00BE7220">
        <w:rPr>
          <w:b w:val="0"/>
          <w:bCs w:val="0"/>
        </w:rPr>
        <w:t xml:space="preserve"> segmentu tržnih naložb je prišlo do relativno obsežne korekcije vrednosti naložb v pozitivno smer.  Družba je del svojih tržnih naložb </w:t>
      </w:r>
      <w:proofErr w:type="spellStart"/>
      <w:r w:rsidR="00BE7220">
        <w:rPr>
          <w:b w:val="0"/>
          <w:bCs w:val="0"/>
        </w:rPr>
        <w:t>dezinvestirala</w:t>
      </w:r>
      <w:proofErr w:type="spellEnd"/>
      <w:r w:rsidR="00BE7220">
        <w:rPr>
          <w:b w:val="0"/>
          <w:bCs w:val="0"/>
        </w:rPr>
        <w:t xml:space="preserve"> in sicer skladno z dinamiko potreb po likvidnih sredstvih. Iz tega naslova je beležila kapitalske dobičke, opazno pa se je povečala tudi vrednost naložb, izkazana v izkazu stanja</w:t>
      </w:r>
      <w:r>
        <w:rPr>
          <w:b w:val="0"/>
          <w:bCs w:val="0"/>
        </w:rPr>
        <w:t>.</w:t>
      </w:r>
    </w:p>
    <w:p w:rsidR="00E4408D" w:rsidRDefault="00141205">
      <w:pPr>
        <w:pStyle w:val="Telobesedila"/>
        <w:numPr>
          <w:ilvl w:val="0"/>
          <w:numId w:val="7"/>
        </w:numPr>
        <w:rPr>
          <w:b w:val="0"/>
          <w:bCs w:val="0"/>
        </w:rPr>
      </w:pPr>
      <w:r>
        <w:rPr>
          <w:b w:val="0"/>
          <w:bCs w:val="0"/>
        </w:rPr>
        <w:t>F</w:t>
      </w:r>
      <w:r w:rsidR="00BE7220">
        <w:rPr>
          <w:b w:val="0"/>
          <w:bCs w:val="0"/>
        </w:rPr>
        <w:t xml:space="preserve">inanciranja družbe je delno podprto s tujimi viri. Družba je v obdobju poročila zniževala svojo izpostavljenost skladno z dogovorjeno pogodbeno dinamiko in tako svoje zadolžitev znižala za cca. 0,5 mio, delež kapitala v virih sredstev pa je narasel na okoli 63%. Delovali smo tudi na segmentu zniževanja obrestnih mer in dosegli povprečno znižanje obrestnih mer za cca. 1% v primerjavi z enakim obdobjem lani. To je zelo pomembno za poslovanje družbe, saj so obresti še vedno največji posamični stroške v družbi in njih gibanje pomembno opredeljuje poslovni izid. </w:t>
      </w:r>
    </w:p>
    <w:p w:rsidR="00E4408D" w:rsidRDefault="00141205">
      <w:pPr>
        <w:pStyle w:val="Telobesedila"/>
        <w:numPr>
          <w:ilvl w:val="0"/>
          <w:numId w:val="7"/>
        </w:numPr>
        <w:rPr>
          <w:b w:val="0"/>
          <w:bCs w:val="0"/>
        </w:rPr>
      </w:pPr>
      <w:r>
        <w:rPr>
          <w:b w:val="0"/>
          <w:bCs w:val="0"/>
        </w:rPr>
        <w:t>V</w:t>
      </w:r>
      <w:r w:rsidR="00BE7220">
        <w:rPr>
          <w:b w:val="0"/>
          <w:bCs w:val="0"/>
        </w:rPr>
        <w:t xml:space="preserve"> okviru poslovanja z viri je zelo pomembna ugotovitev, da</w:t>
      </w:r>
      <w:r>
        <w:rPr>
          <w:b w:val="0"/>
          <w:bCs w:val="0"/>
        </w:rPr>
        <w:t xml:space="preserve"> je</w:t>
      </w:r>
      <w:r w:rsidR="00BE7220">
        <w:rPr>
          <w:b w:val="0"/>
          <w:bCs w:val="0"/>
        </w:rPr>
        <w:t xml:space="preserve"> družba likvidna, </w:t>
      </w:r>
      <w:r>
        <w:rPr>
          <w:b w:val="0"/>
          <w:bCs w:val="0"/>
        </w:rPr>
        <w:t>redno</w:t>
      </w:r>
      <w:r w:rsidR="00BE7220">
        <w:rPr>
          <w:b w:val="0"/>
          <w:bCs w:val="0"/>
        </w:rPr>
        <w:t xml:space="preserve"> izpolnjuje vse svoje obveznosti iz tekočega poslovanja ter tudi iz </w:t>
      </w:r>
      <w:proofErr w:type="spellStart"/>
      <w:r w:rsidR="00BE7220">
        <w:rPr>
          <w:b w:val="0"/>
          <w:bCs w:val="0"/>
        </w:rPr>
        <w:t>dezinvestiranja</w:t>
      </w:r>
      <w:proofErr w:type="spellEnd"/>
      <w:r w:rsidR="00BE7220">
        <w:rPr>
          <w:b w:val="0"/>
          <w:bCs w:val="0"/>
        </w:rPr>
        <w:t>. Družba je tudi solventna, saj ima na voljo za pokrivanje v bodoče zapadlih obveznosti likvidne vire.</w:t>
      </w:r>
    </w:p>
    <w:p w:rsidR="00E4408D" w:rsidRDefault="00E4408D">
      <w:pPr>
        <w:pStyle w:val="Telobesedila"/>
      </w:pPr>
    </w:p>
    <w:p w:rsidR="00E4408D" w:rsidRDefault="00BE7220">
      <w:pPr>
        <w:jc w:val="both"/>
      </w:pPr>
      <w:r>
        <w:tab/>
        <w:t xml:space="preserve">Doseženi prihodki iz omenjenih rednih dejavnosti so se gibali v okviru načrtovanih </w:t>
      </w:r>
      <w:r>
        <w:tab/>
        <w:t xml:space="preserve">vrednosti, po drugi strani pa tudi stroški niso odstopali od začrtanih vrednosti. Zaradi </w:t>
      </w:r>
      <w:r>
        <w:tab/>
        <w:t>narave po</w:t>
      </w:r>
      <w:r w:rsidR="00141205">
        <w:t>slovanja družbe, ki dosega večje</w:t>
      </w:r>
      <w:r>
        <w:t xml:space="preserve"> prihodke v II. in predvsem III. kvartalu ter ob </w:t>
      </w:r>
      <w:r>
        <w:tab/>
        <w:t xml:space="preserve">realizaciji pomembnejših kapitalskih naložb, stroški pa so dokaj linearni, je tekoči poslovni </w:t>
      </w:r>
      <w:r>
        <w:tab/>
        <w:t xml:space="preserve">izid sicer negativen, vendar družba računa, da bodo ciljni rezultati doseženi.  </w:t>
      </w:r>
    </w:p>
    <w:p w:rsidR="00E4408D" w:rsidRDefault="00E4408D">
      <w:pPr>
        <w:jc w:val="both"/>
      </w:pPr>
    </w:p>
    <w:p w:rsidR="00E4408D" w:rsidRDefault="00E4408D">
      <w:pPr>
        <w:jc w:val="both"/>
      </w:pPr>
    </w:p>
    <w:p w:rsidR="00E4408D" w:rsidRDefault="00BE7220">
      <w:pPr>
        <w:jc w:val="both"/>
        <w:rPr>
          <w:b/>
          <w:bCs/>
        </w:rPr>
      </w:pPr>
      <w:r>
        <w:rPr>
          <w:b/>
          <w:bCs/>
        </w:rPr>
        <w:tab/>
        <w:t xml:space="preserve">7. SPLOŠEN OPIS FINANČNEGA POLOŽAJA IN POSLOVANJA DRUŽBE TER </w:t>
      </w:r>
      <w:r>
        <w:rPr>
          <w:b/>
          <w:bCs/>
        </w:rPr>
        <w:tab/>
        <w:t>NJENJIH ODVISNIH DRUŽB</w:t>
      </w:r>
    </w:p>
    <w:p w:rsidR="00E4408D" w:rsidRDefault="00E4408D">
      <w:pPr>
        <w:jc w:val="both"/>
        <w:rPr>
          <w:b/>
          <w:bCs/>
        </w:rPr>
      </w:pPr>
    </w:p>
    <w:p w:rsidR="00E4408D" w:rsidRDefault="00BE7220">
      <w:pPr>
        <w:numPr>
          <w:ilvl w:val="0"/>
          <w:numId w:val="8"/>
        </w:numPr>
        <w:jc w:val="both"/>
      </w:pPr>
      <w:r>
        <w:t xml:space="preserve">Splošen finančni položaj družbe je dober. Pozitivne aktivnosti se sicer v celoti ne kažejo v izkazu uspeha, tako, da zadnji izkaz uspeha na dan 31.3.2015 kaže, da ima družba 98 tisoč izgube, kar je v primerjavi z lanskimi 20 tisoči dobička relativno slabo. Vendar je seveda potrebno opozoriti za bistveno spremenjeno strukturo bilance stanja družbe oz. povečano količino dolgov. Pozitiven trend poslovanja se tako bolj kot v izkazu uspeha kaže v bilanci </w:t>
      </w:r>
      <w:r>
        <w:lastRenderedPageBreak/>
        <w:t xml:space="preserve">stanja, kjer se je vrednost kapitala v primerjavi s stanjem na začetku leta povečala za 1,6 mio. EUR. Računa se, da bo poslovni izid ob poletju že pozitiven. </w:t>
      </w:r>
    </w:p>
    <w:p w:rsidR="00E4408D" w:rsidRDefault="00BE7220">
      <w:pPr>
        <w:numPr>
          <w:ilvl w:val="0"/>
          <w:numId w:val="8"/>
        </w:numPr>
        <w:jc w:val="both"/>
      </w:pPr>
      <w:r>
        <w:t>Sicer pa na segmentu prihodkov po zadnjih relevantnih podatkih zbranih na dan 31.3.15 beležimo 186 tisoč EUR prihodkov iz prodaje ali 6,3% več kot v enakem obdobju lani ter 235 tisoč EUR realiziranih kapitalskih dobičkov napram le 12 tisoč EUR lani.</w:t>
      </w:r>
    </w:p>
    <w:p w:rsidR="00E4408D" w:rsidRDefault="00BE7220">
      <w:pPr>
        <w:numPr>
          <w:ilvl w:val="0"/>
          <w:numId w:val="8"/>
        </w:numPr>
        <w:jc w:val="both"/>
      </w:pPr>
      <w:r>
        <w:t xml:space="preserve">Na stroškovni strani so znašali stroški blaga in storitev 49 tisoč EUR napram 36 tisoč EUR lani, kar je posledica predvsem stroškov financiranja. Plače so znašale 97 tisoč napram 84, kar je spet posledica pripojitve </w:t>
      </w:r>
      <w:proofErr w:type="spellStart"/>
      <w:r>
        <w:t>Interfina</w:t>
      </w:r>
      <w:proofErr w:type="spellEnd"/>
      <w:r>
        <w:t xml:space="preserve"> naložbe</w:t>
      </w:r>
      <w:r w:rsidR="00E35BEC">
        <w:t xml:space="preserve"> </w:t>
      </w:r>
      <w:proofErr w:type="spellStart"/>
      <w:r w:rsidR="00E35BEC">
        <w:t>d.d</w:t>
      </w:r>
      <w:proofErr w:type="spellEnd"/>
      <w:r w:rsidR="00E35BEC">
        <w:t>.</w:t>
      </w:r>
      <w:r>
        <w:t xml:space="preserve"> in zaradi tega prevzema dveh novih delavcev. Amortizacija ostaja na lanskih 105 tisoč,  bistveno</w:t>
      </w:r>
      <w:r w:rsidR="00E35BEC">
        <w:t xml:space="preserve"> so se</w:t>
      </w:r>
      <w:r>
        <w:t xml:space="preserve"> povečali stroški obresti in sicer iz 23 tisoč EUR na 226 tisoč EUR. To je seveda posledica popolnoma spremenjene strukture bilance stanja. Če bi pa pogledali primerjavo z zadnjim kvartalom l.0214, bi zaznali opazno znižanje, ki je posledica znižanja zadolžitve in padca obrestnih mer. </w:t>
      </w:r>
    </w:p>
    <w:p w:rsidR="00E4408D" w:rsidRDefault="00BE7220">
      <w:pPr>
        <w:numPr>
          <w:ilvl w:val="0"/>
          <w:numId w:val="8"/>
        </w:numPr>
        <w:jc w:val="both"/>
      </w:pPr>
      <w:r>
        <w:t>Kot je bilo že navedeno so hčerinske družbe poslovale enako ali bolje kot lani. Podobna ocena pa velja tudi za pridruženi družbi.</w:t>
      </w:r>
    </w:p>
    <w:p w:rsidR="00E4408D" w:rsidRDefault="00BE7220">
      <w:pPr>
        <w:numPr>
          <w:ilvl w:val="0"/>
          <w:numId w:val="8"/>
        </w:numPr>
        <w:jc w:val="both"/>
      </w:pPr>
      <w:r>
        <w:t>Poslovanje družbe v teh zaostrenih pogojih gospodarjenja ocenjujemo za uspešno.</w:t>
      </w:r>
    </w:p>
    <w:p w:rsidR="00E4408D" w:rsidRDefault="00E4408D">
      <w:pPr>
        <w:jc w:val="both"/>
      </w:pPr>
    </w:p>
    <w:p w:rsidR="00E4408D" w:rsidRDefault="00E4408D">
      <w:pPr>
        <w:jc w:val="both"/>
      </w:pPr>
    </w:p>
    <w:p w:rsidR="00E4408D" w:rsidRDefault="00BE7220">
      <w:pPr>
        <w:jc w:val="both"/>
        <w:rPr>
          <w:b/>
        </w:rPr>
      </w:pPr>
      <w:r>
        <w:rPr>
          <w:b/>
        </w:rPr>
        <w:tab/>
        <w:t>8. DOGODKI PO DATUMU OBRAČUNSKEGA OBODBJA</w:t>
      </w:r>
    </w:p>
    <w:p w:rsidR="00E4408D" w:rsidRDefault="00E4408D">
      <w:pPr>
        <w:jc w:val="both"/>
      </w:pPr>
    </w:p>
    <w:p w:rsidR="00E4408D" w:rsidRDefault="00BE7220">
      <w:pPr>
        <w:jc w:val="both"/>
      </w:pPr>
      <w:r>
        <w:tab/>
        <w:t xml:space="preserve">Po obravnavanem obračunskem obdobju ni bilo dogodkov, ki bi bistveno vplivali na </w:t>
      </w:r>
      <w:r>
        <w:tab/>
        <w:t>poslovni rezultat družbe.</w:t>
      </w:r>
    </w:p>
    <w:p w:rsidR="00E4408D" w:rsidRDefault="00E4408D">
      <w:pPr>
        <w:jc w:val="both"/>
      </w:pPr>
    </w:p>
    <w:p w:rsidR="00442737" w:rsidRDefault="00442737">
      <w:pPr>
        <w:jc w:val="both"/>
      </w:pPr>
    </w:p>
    <w:p w:rsidR="00442737" w:rsidRDefault="00442737">
      <w:pPr>
        <w:jc w:val="both"/>
      </w:pPr>
    </w:p>
    <w:p w:rsidR="00442737" w:rsidRDefault="00442737">
      <w:pPr>
        <w:jc w:val="both"/>
      </w:pPr>
    </w:p>
    <w:p w:rsidR="00E4408D" w:rsidRDefault="00E4408D">
      <w:pPr>
        <w:jc w:val="both"/>
      </w:pPr>
    </w:p>
    <w:p w:rsidR="00E4408D" w:rsidRDefault="00BE7220">
      <w:pPr>
        <w:jc w:val="both"/>
      </w:pPr>
      <w:r>
        <w:t>V Kopru, 08.5.2015</w:t>
      </w:r>
    </w:p>
    <w:p w:rsidR="00442737" w:rsidRDefault="00442737">
      <w:pPr>
        <w:jc w:val="both"/>
      </w:pPr>
    </w:p>
    <w:p w:rsidR="00E4408D" w:rsidRDefault="00BE7220">
      <w:pPr>
        <w:ind w:left="7080" w:firstLine="708"/>
        <w:jc w:val="both"/>
      </w:pPr>
      <w:bookmarkStart w:id="0" w:name="_GoBack"/>
      <w:bookmarkEnd w:id="0"/>
      <w:r>
        <w:t>Uprava družbe</w:t>
      </w:r>
    </w:p>
    <w:p w:rsidR="00E4408D" w:rsidRDefault="00E4408D">
      <w:pPr>
        <w:jc w:val="both"/>
      </w:pPr>
    </w:p>
    <w:p w:rsidR="00E4408D" w:rsidRDefault="00E4408D"/>
    <w:sectPr w:rsidR="00E4408D">
      <w:headerReference w:type="default" r:id="rId9"/>
      <w:footerReference w:type="default" r:id="rId10"/>
      <w:pgSz w:w="11906" w:h="16838"/>
      <w:pgMar w:top="2659" w:right="1134" w:bottom="1440" w:left="1134" w:header="709" w:footer="35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4AE" w:rsidRDefault="00BE7220">
      <w:r>
        <w:separator/>
      </w:r>
    </w:p>
  </w:endnote>
  <w:endnote w:type="continuationSeparator" w:id="0">
    <w:p w:rsidR="009864AE" w:rsidRDefault="00BE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auto"/>
    <w:pitch w:val="default"/>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8D" w:rsidRDefault="00BE7220">
    <w:pPr>
      <w:pStyle w:val="Noga"/>
    </w:pPr>
    <w:r>
      <w:rPr>
        <w:noProof/>
        <w:lang w:eastAsia="sl-SI"/>
      </w:rPr>
      <w:drawing>
        <wp:inline distT="0" distB="0" distL="0" distR="0">
          <wp:extent cx="6116955" cy="79184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6116955" cy="7918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4AE" w:rsidRDefault="00BE7220">
      <w:r>
        <w:separator/>
      </w:r>
    </w:p>
  </w:footnote>
  <w:footnote w:type="continuationSeparator" w:id="0">
    <w:p w:rsidR="009864AE" w:rsidRDefault="00BE7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8D" w:rsidRDefault="00BE7220">
    <w:pPr>
      <w:pStyle w:val="Glava"/>
      <w:jc w:val="left"/>
      <w:rPr>
        <w:sz w:val="50"/>
        <w:lang w:eastAsia="sl-SI"/>
      </w:rPr>
    </w:pPr>
    <w:r>
      <w:rPr>
        <w:noProof/>
        <w:sz w:val="50"/>
        <w:lang w:eastAsia="sl-SI"/>
      </w:rPr>
      <w:drawing>
        <wp:inline distT="0" distB="0" distL="0" distR="0">
          <wp:extent cx="2755265" cy="49784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2755265" cy="497840"/>
                  </a:xfrm>
                  <a:prstGeom prst="rect">
                    <a:avLst/>
                  </a:prstGeom>
                  <a:noFill/>
                  <a:ln w="9525">
                    <a:noFill/>
                    <a:miter lim="800000"/>
                    <a:headEnd/>
                    <a:tailEnd/>
                  </a:ln>
                </pic:spPr>
              </pic:pic>
            </a:graphicData>
          </a:graphic>
        </wp:inline>
      </w:drawing>
    </w:r>
  </w:p>
  <w:p w:rsidR="00E4408D" w:rsidRDefault="00E4408D">
    <w:pPr>
      <w:pStyle w:val="Glava"/>
      <w:tabs>
        <w:tab w:val="left" w:pos="5104"/>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96FB0"/>
    <w:multiLevelType w:val="multilevel"/>
    <w:tmpl w:val="E4287F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92A4AD1"/>
    <w:multiLevelType w:val="multilevel"/>
    <w:tmpl w:val="ED72D37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B2416D2"/>
    <w:multiLevelType w:val="multilevel"/>
    <w:tmpl w:val="721298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C340379"/>
    <w:multiLevelType w:val="multilevel"/>
    <w:tmpl w:val="EA486F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36133ECD"/>
    <w:multiLevelType w:val="multilevel"/>
    <w:tmpl w:val="14988F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37DB162E"/>
    <w:multiLevelType w:val="multilevel"/>
    <w:tmpl w:val="33F0E6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0055013"/>
    <w:multiLevelType w:val="multilevel"/>
    <w:tmpl w:val="444C71EE"/>
    <w:lvl w:ilvl="0">
      <w:start w:val="1"/>
      <w:numFmt w:val="bullet"/>
      <w:lvlText w:val=""/>
      <w:lvlJc w:val="left"/>
      <w:pPr>
        <w:tabs>
          <w:tab w:val="num" w:pos="1428"/>
        </w:tabs>
        <w:ind w:left="1428" w:hanging="360"/>
      </w:pPr>
      <w:rPr>
        <w:rFonts w:ascii="Symbol" w:hAnsi="Symbol" w:cs="Symbol" w:hint="default"/>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abstractNum w:abstractNumId="7">
    <w:nsid w:val="40331D40"/>
    <w:multiLevelType w:val="multilevel"/>
    <w:tmpl w:val="BEEA9FA0"/>
    <w:lvl w:ilvl="0">
      <w:start w:val="1"/>
      <w:numFmt w:val="bullet"/>
      <w:lvlText w:val=""/>
      <w:lvlJc w:val="left"/>
      <w:pPr>
        <w:tabs>
          <w:tab w:val="num" w:pos="784"/>
        </w:tabs>
        <w:ind w:left="784" w:hanging="360"/>
      </w:pPr>
      <w:rPr>
        <w:rFonts w:ascii="Symbol" w:hAnsi="Symbol" w:cs="Symbol" w:hint="default"/>
      </w:rPr>
    </w:lvl>
    <w:lvl w:ilvl="1">
      <w:start w:val="1"/>
      <w:numFmt w:val="bullet"/>
      <w:lvlText w:val="◦"/>
      <w:lvlJc w:val="left"/>
      <w:pPr>
        <w:tabs>
          <w:tab w:val="num" w:pos="1144"/>
        </w:tabs>
        <w:ind w:left="1144" w:hanging="360"/>
      </w:pPr>
      <w:rPr>
        <w:rFonts w:ascii="OpenSymbol" w:hAnsi="OpenSymbol" w:cs="OpenSymbol" w:hint="default"/>
      </w:rPr>
    </w:lvl>
    <w:lvl w:ilvl="2">
      <w:start w:val="1"/>
      <w:numFmt w:val="bullet"/>
      <w:lvlText w:val="▪"/>
      <w:lvlJc w:val="left"/>
      <w:pPr>
        <w:tabs>
          <w:tab w:val="num" w:pos="1504"/>
        </w:tabs>
        <w:ind w:left="1504" w:hanging="360"/>
      </w:pPr>
      <w:rPr>
        <w:rFonts w:ascii="OpenSymbol" w:hAnsi="OpenSymbol" w:cs="OpenSymbol" w:hint="default"/>
      </w:rPr>
    </w:lvl>
    <w:lvl w:ilvl="3">
      <w:start w:val="1"/>
      <w:numFmt w:val="bullet"/>
      <w:lvlText w:val=""/>
      <w:lvlJc w:val="left"/>
      <w:pPr>
        <w:tabs>
          <w:tab w:val="num" w:pos="1864"/>
        </w:tabs>
        <w:ind w:left="1864" w:hanging="360"/>
      </w:pPr>
      <w:rPr>
        <w:rFonts w:ascii="Symbol" w:hAnsi="Symbol" w:cs="Symbol" w:hint="default"/>
      </w:rPr>
    </w:lvl>
    <w:lvl w:ilvl="4">
      <w:start w:val="1"/>
      <w:numFmt w:val="bullet"/>
      <w:lvlText w:val="◦"/>
      <w:lvlJc w:val="left"/>
      <w:pPr>
        <w:tabs>
          <w:tab w:val="num" w:pos="2224"/>
        </w:tabs>
        <w:ind w:left="2224" w:hanging="360"/>
      </w:pPr>
      <w:rPr>
        <w:rFonts w:ascii="OpenSymbol" w:hAnsi="OpenSymbol" w:cs="OpenSymbol" w:hint="default"/>
      </w:rPr>
    </w:lvl>
    <w:lvl w:ilvl="5">
      <w:start w:val="1"/>
      <w:numFmt w:val="bullet"/>
      <w:lvlText w:val="▪"/>
      <w:lvlJc w:val="left"/>
      <w:pPr>
        <w:tabs>
          <w:tab w:val="num" w:pos="2584"/>
        </w:tabs>
        <w:ind w:left="2584" w:hanging="360"/>
      </w:pPr>
      <w:rPr>
        <w:rFonts w:ascii="OpenSymbol" w:hAnsi="OpenSymbol" w:cs="OpenSymbol" w:hint="default"/>
      </w:rPr>
    </w:lvl>
    <w:lvl w:ilvl="6">
      <w:start w:val="1"/>
      <w:numFmt w:val="bullet"/>
      <w:lvlText w:val=""/>
      <w:lvlJc w:val="left"/>
      <w:pPr>
        <w:tabs>
          <w:tab w:val="num" w:pos="2944"/>
        </w:tabs>
        <w:ind w:left="2944" w:hanging="360"/>
      </w:pPr>
      <w:rPr>
        <w:rFonts w:ascii="Symbol" w:hAnsi="Symbol" w:cs="Symbol" w:hint="default"/>
      </w:rPr>
    </w:lvl>
    <w:lvl w:ilvl="7">
      <w:start w:val="1"/>
      <w:numFmt w:val="bullet"/>
      <w:lvlText w:val="◦"/>
      <w:lvlJc w:val="left"/>
      <w:pPr>
        <w:tabs>
          <w:tab w:val="num" w:pos="3304"/>
        </w:tabs>
        <w:ind w:left="3304" w:hanging="360"/>
      </w:pPr>
      <w:rPr>
        <w:rFonts w:ascii="OpenSymbol" w:hAnsi="OpenSymbol" w:cs="OpenSymbol" w:hint="default"/>
      </w:rPr>
    </w:lvl>
    <w:lvl w:ilvl="8">
      <w:start w:val="1"/>
      <w:numFmt w:val="bullet"/>
      <w:lvlText w:val="▪"/>
      <w:lvlJc w:val="left"/>
      <w:pPr>
        <w:tabs>
          <w:tab w:val="num" w:pos="3664"/>
        </w:tabs>
        <w:ind w:left="3664" w:hanging="360"/>
      </w:pPr>
      <w:rPr>
        <w:rFonts w:ascii="OpenSymbol" w:hAnsi="OpenSymbol" w:cs="OpenSymbol" w:hint="default"/>
      </w:rPr>
    </w:lvl>
  </w:abstractNum>
  <w:abstractNum w:abstractNumId="8">
    <w:nsid w:val="41326FA3"/>
    <w:multiLevelType w:val="multilevel"/>
    <w:tmpl w:val="2410D7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526D7729"/>
    <w:multiLevelType w:val="multilevel"/>
    <w:tmpl w:val="608C59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5AF52998"/>
    <w:multiLevelType w:val="multilevel"/>
    <w:tmpl w:val="A9F6ACB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abstractNumId w:val="4"/>
  </w:num>
  <w:num w:numId="2">
    <w:abstractNumId w:val="2"/>
  </w:num>
  <w:num w:numId="3">
    <w:abstractNumId w:val="7"/>
  </w:num>
  <w:num w:numId="4">
    <w:abstractNumId w:val="3"/>
  </w:num>
  <w:num w:numId="5">
    <w:abstractNumId w:val="9"/>
  </w:num>
  <w:num w:numId="6">
    <w:abstractNumId w:val="8"/>
  </w:num>
  <w:num w:numId="7">
    <w:abstractNumId w:val="10"/>
  </w:num>
  <w:num w:numId="8">
    <w:abstractNumId w:val="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8D"/>
    <w:rsid w:val="00141205"/>
    <w:rsid w:val="00442737"/>
    <w:rsid w:val="009864AE"/>
    <w:rsid w:val="00BE7220"/>
    <w:rsid w:val="00E35BEC"/>
    <w:rsid w:val="00E440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2CA99-1182-4BA0-B116-104FED52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sl-SI"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pPr>
      <w:suppressAutoHyphens/>
    </w:pPr>
    <w:rPr>
      <w:rFonts w:ascii="Times New Roman" w:eastAsia="Times New Roman" w:hAnsi="Times New Roman" w:cs="Times New Roman"/>
      <w:lang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Spletnapovezava">
    <w:name w:val="Spletna povezava"/>
    <w:rPr>
      <w:color w:val="0000FF"/>
      <w:u w:val="single"/>
    </w:rPr>
  </w:style>
  <w:style w:type="character" w:customStyle="1" w:styleId="Oznake">
    <w:name w:val="Oznake"/>
    <w:rPr>
      <w:rFonts w:ascii="OpenSymbol" w:eastAsia="OpenSymbol" w:hAnsi="OpenSymbol" w:cs="OpenSymbol"/>
    </w:rPr>
  </w:style>
  <w:style w:type="character" w:customStyle="1" w:styleId="Simbolizaotevilevanje">
    <w:name w:val="Simboli za oštevilčevanje"/>
  </w:style>
  <w:style w:type="paragraph" w:styleId="Naslov">
    <w:name w:val="Title"/>
    <w:basedOn w:val="Navaden"/>
    <w:next w:val="Telobesedila"/>
    <w:pPr>
      <w:keepNext/>
      <w:spacing w:before="240" w:after="120"/>
    </w:pPr>
    <w:rPr>
      <w:rFonts w:ascii="Liberation Sans" w:eastAsia="Droid Sans Fallback" w:hAnsi="Liberation Sans" w:cs="FreeSans"/>
      <w:sz w:val="28"/>
      <w:szCs w:val="28"/>
    </w:rPr>
  </w:style>
  <w:style w:type="paragraph" w:styleId="Telobesedila">
    <w:name w:val="Body Text"/>
    <w:basedOn w:val="Navaden"/>
    <w:pPr>
      <w:jc w:val="both"/>
    </w:pPr>
    <w:rPr>
      <w:b/>
      <w:bCs/>
      <w:szCs w:val="20"/>
    </w:rPr>
  </w:style>
  <w:style w:type="paragraph" w:styleId="Seznam">
    <w:name w:val="List"/>
    <w:basedOn w:val="Telobesedila"/>
    <w:rPr>
      <w:rFonts w:cs="FreeSans"/>
    </w:rPr>
  </w:style>
  <w:style w:type="paragraph" w:styleId="Napis">
    <w:name w:val="caption"/>
    <w:basedOn w:val="Navaden"/>
    <w:pPr>
      <w:suppressLineNumbers/>
      <w:spacing w:before="120" w:after="120"/>
    </w:pPr>
    <w:rPr>
      <w:rFonts w:cs="FreeSans"/>
      <w:i/>
      <w:iCs/>
    </w:rPr>
  </w:style>
  <w:style w:type="paragraph" w:customStyle="1" w:styleId="Kazalo">
    <w:name w:val="Kazalo"/>
    <w:basedOn w:val="Navaden"/>
    <w:pPr>
      <w:suppressLineNumbers/>
    </w:pPr>
    <w:rPr>
      <w:rFonts w:cs="FreeSans"/>
    </w:rPr>
  </w:style>
  <w:style w:type="paragraph" w:styleId="Glava">
    <w:name w:val="header"/>
    <w:basedOn w:val="Navaden"/>
    <w:pPr>
      <w:tabs>
        <w:tab w:val="center" w:pos="4153"/>
        <w:tab w:val="right" w:pos="8306"/>
      </w:tabs>
      <w:jc w:val="both"/>
    </w:pPr>
    <w:rPr>
      <w:szCs w:val="20"/>
    </w:rPr>
  </w:style>
  <w:style w:type="paragraph" w:styleId="Noga">
    <w:name w:val="footer"/>
    <w:basedOn w:val="Navaden"/>
    <w:pPr>
      <w:tabs>
        <w:tab w:val="center" w:pos="4153"/>
        <w:tab w:val="right" w:pos="8306"/>
      </w:tabs>
      <w:jc w:val="both"/>
    </w:pPr>
    <w:rPr>
      <w:szCs w:val="20"/>
    </w:rPr>
  </w:style>
  <w:style w:type="paragraph" w:customStyle="1" w:styleId="Default">
    <w:name w:val="Default"/>
    <w:pPr>
      <w:suppressAutoHyphens/>
      <w:autoSpaceDE w:val="0"/>
    </w:pPr>
    <w:rPr>
      <w:rFonts w:ascii="Times New Roman" w:eastAsia="Times New Roman" w:hAnsi="Times New Roman" w:cs="Times New Roman"/>
      <w:color w:val="000000"/>
      <w:lang w:bidi="ar-SA"/>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paragraph" w:styleId="Besedilooblaka">
    <w:name w:val="Balloon Text"/>
    <w:basedOn w:val="Navaden"/>
    <w:link w:val="BesedilooblakaZnak"/>
    <w:uiPriority w:val="99"/>
    <w:semiHidden/>
    <w:unhideWhenUsed/>
    <w:rsid w:val="00BE722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E7220"/>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l-holding.si/" TargetMode="External"/><Relationship Id="rId3" Type="http://schemas.openxmlformats.org/officeDocument/2006/relationships/settings" Target="settings.xml"/><Relationship Id="rId7" Type="http://schemas.openxmlformats.org/officeDocument/2006/relationships/hyperlink" Target="http://www.ml-holding.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1230</Words>
  <Characters>7015</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VMESNO POROČILO POSLOVODSTVA</vt:lpstr>
    </vt:vector>
  </TitlesOfParts>
  <Company/>
  <LinksUpToDate>false</LinksUpToDate>
  <CharactersWithSpaces>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VMESNO POROČILO POSLOVODSTVA</dc:title>
  <dc:creator>fp</dc:creator>
  <cp:lastModifiedBy>Sonja Žitko</cp:lastModifiedBy>
  <cp:revision>5</cp:revision>
  <cp:lastPrinted>2015-05-06T11:54:00Z</cp:lastPrinted>
  <dcterms:created xsi:type="dcterms:W3CDTF">2015-05-06T12:10:00Z</dcterms:created>
  <dcterms:modified xsi:type="dcterms:W3CDTF">2015-05-08T06:50:00Z</dcterms:modified>
  <dc:language>sl-SI</dc:language>
</cp:coreProperties>
</file>