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34" w:rsidRDefault="00F66B34" w:rsidP="00DF550E">
      <w:pPr>
        <w:rPr>
          <w:b/>
          <w:color w:val="FF0000"/>
          <w:sz w:val="36"/>
          <w:szCs w:val="36"/>
        </w:rPr>
      </w:pPr>
      <w:bookmarkStart w:id="0" w:name="_GoBack"/>
      <w:bookmarkEnd w:id="0"/>
    </w:p>
    <w:p w:rsidR="000A7C17" w:rsidRDefault="000A7C17" w:rsidP="00CF3656">
      <w:pPr>
        <w:rPr>
          <w:b/>
          <w:iCs/>
          <w:color w:val="FF0000"/>
          <w:sz w:val="28"/>
          <w:szCs w:val="28"/>
        </w:rPr>
      </w:pPr>
    </w:p>
    <w:p w:rsidR="00CF3656" w:rsidRPr="00F07A23" w:rsidRDefault="00F572AB" w:rsidP="00CF3656">
      <w:pPr>
        <w:rPr>
          <w:b/>
          <w:iCs/>
          <w:color w:val="FF0000"/>
          <w:sz w:val="28"/>
          <w:szCs w:val="28"/>
        </w:rPr>
      </w:pPr>
      <w:r>
        <w:rPr>
          <w:b/>
          <w:iCs/>
          <w:color w:val="FF0000"/>
          <w:sz w:val="28"/>
          <w:szCs w:val="28"/>
        </w:rPr>
        <w:t>Pregled</w:t>
      </w:r>
      <w:r w:rsidR="00F07A23" w:rsidRPr="00F07A23">
        <w:rPr>
          <w:b/>
          <w:iCs/>
          <w:color w:val="FF0000"/>
          <w:sz w:val="28"/>
          <w:szCs w:val="28"/>
        </w:rPr>
        <w:t xml:space="preserve"> najpomembnejših podatkov</w:t>
      </w:r>
      <w:r w:rsidR="00F66B34" w:rsidRPr="00F07A23">
        <w:rPr>
          <w:b/>
          <w:iCs/>
          <w:color w:val="FF0000"/>
          <w:sz w:val="28"/>
          <w:szCs w:val="28"/>
        </w:rPr>
        <w:t xml:space="preserve"> </w:t>
      </w:r>
    </w:p>
    <w:p w:rsidR="00CF3656" w:rsidRPr="00D20817" w:rsidRDefault="00CF3656" w:rsidP="00CF3656">
      <w:pPr>
        <w:spacing w:line="288" w:lineRule="auto"/>
        <w:rPr>
          <w:rFonts w:ascii="Arial Narrow" w:hAnsi="Arial Narrow"/>
          <w:sz w:val="14"/>
          <w:szCs w:val="14"/>
        </w:rPr>
      </w:pPr>
    </w:p>
    <w:p w:rsidR="00231E22" w:rsidRPr="006A4A02" w:rsidRDefault="00231E22" w:rsidP="00231E22">
      <w:pPr>
        <w:spacing w:line="264" w:lineRule="auto"/>
        <w:rPr>
          <w:sz w:val="18"/>
          <w:szCs w:val="18"/>
        </w:rPr>
      </w:pPr>
    </w:p>
    <w:tbl>
      <w:tblPr>
        <w:tblW w:w="9264" w:type="dxa"/>
        <w:jc w:val="center"/>
        <w:tblInd w:w="70" w:type="dxa"/>
        <w:tblCellMar>
          <w:left w:w="70" w:type="dxa"/>
          <w:right w:w="70" w:type="dxa"/>
        </w:tblCellMar>
        <w:tblLook w:val="0000" w:firstRow="0" w:lastRow="0" w:firstColumn="0" w:lastColumn="0" w:noHBand="0" w:noVBand="0"/>
      </w:tblPr>
      <w:tblGrid>
        <w:gridCol w:w="2762"/>
        <w:gridCol w:w="1460"/>
        <w:gridCol w:w="1460"/>
        <w:gridCol w:w="1460"/>
        <w:gridCol w:w="1061"/>
        <w:gridCol w:w="1061"/>
      </w:tblGrid>
      <w:tr w:rsidR="009B4428" w:rsidRPr="009B4428" w:rsidTr="005D277E">
        <w:trPr>
          <w:trHeight w:val="615"/>
          <w:jc w:val="center"/>
        </w:trPr>
        <w:tc>
          <w:tcPr>
            <w:tcW w:w="2762" w:type="dxa"/>
            <w:tcBorders>
              <w:top w:val="single" w:sz="8" w:space="0" w:color="969696"/>
              <w:left w:val="nil"/>
              <w:bottom w:val="double" w:sz="6" w:space="0" w:color="969696"/>
              <w:right w:val="single" w:sz="8" w:space="0" w:color="969696"/>
            </w:tcBorders>
            <w:shd w:val="clear" w:color="auto" w:fill="auto"/>
          </w:tcPr>
          <w:p w:rsidR="009B4428" w:rsidRPr="009B4428" w:rsidRDefault="009B4428" w:rsidP="005D277E">
            <w:pPr>
              <w:rPr>
                <w:rFonts w:ascii="Arial Narrow" w:hAnsi="Arial Narrow"/>
                <w:sz w:val="18"/>
                <w:szCs w:val="18"/>
              </w:rPr>
            </w:pPr>
            <w:r w:rsidRPr="009B4428">
              <w:rPr>
                <w:rFonts w:ascii="Arial Narrow" w:hAnsi="Arial Narrow"/>
                <w:sz w:val="18"/>
                <w:szCs w:val="18"/>
              </w:rPr>
              <w:t> </w:t>
            </w:r>
          </w:p>
        </w:tc>
        <w:tc>
          <w:tcPr>
            <w:tcW w:w="1460" w:type="dxa"/>
            <w:tcBorders>
              <w:top w:val="single" w:sz="8" w:space="0" w:color="969696"/>
              <w:left w:val="nil"/>
              <w:bottom w:val="double" w:sz="6" w:space="0" w:color="969696"/>
              <w:right w:val="single" w:sz="8" w:space="0" w:color="969696"/>
            </w:tcBorders>
            <w:shd w:val="clear" w:color="auto" w:fill="auto"/>
            <w:vAlign w:val="center"/>
          </w:tcPr>
          <w:p w:rsidR="009B4428" w:rsidRPr="009B4428" w:rsidRDefault="009B4428" w:rsidP="005D277E">
            <w:pPr>
              <w:jc w:val="center"/>
              <w:rPr>
                <w:rFonts w:ascii="Arial Narrow" w:hAnsi="Arial Narrow" w:cs="Arial"/>
                <w:b/>
                <w:bCs/>
                <w:sz w:val="18"/>
                <w:szCs w:val="18"/>
              </w:rPr>
            </w:pPr>
            <w:r w:rsidRPr="009B4428">
              <w:rPr>
                <w:rFonts w:ascii="Arial Narrow" w:hAnsi="Arial Narrow" w:cs="Arial"/>
                <w:b/>
                <w:bCs/>
                <w:sz w:val="18"/>
                <w:szCs w:val="18"/>
              </w:rPr>
              <w:t>LETO 2014</w:t>
            </w:r>
          </w:p>
        </w:tc>
        <w:tc>
          <w:tcPr>
            <w:tcW w:w="1460" w:type="dxa"/>
            <w:tcBorders>
              <w:top w:val="single" w:sz="8" w:space="0" w:color="969696"/>
              <w:left w:val="nil"/>
              <w:bottom w:val="double" w:sz="6" w:space="0" w:color="969696"/>
              <w:right w:val="single" w:sz="8" w:space="0" w:color="969696"/>
            </w:tcBorders>
            <w:shd w:val="clear" w:color="auto" w:fill="auto"/>
            <w:vAlign w:val="center"/>
          </w:tcPr>
          <w:p w:rsidR="009B4428" w:rsidRPr="009B4428" w:rsidRDefault="009B4428" w:rsidP="005D277E">
            <w:pPr>
              <w:jc w:val="center"/>
              <w:rPr>
                <w:rFonts w:ascii="Arial Narrow" w:hAnsi="Arial Narrow" w:cs="Arial"/>
                <w:b/>
                <w:bCs/>
                <w:sz w:val="18"/>
                <w:szCs w:val="18"/>
              </w:rPr>
            </w:pPr>
            <w:r w:rsidRPr="009B4428">
              <w:rPr>
                <w:rFonts w:ascii="Arial Narrow" w:hAnsi="Arial Narrow" w:cs="Arial"/>
                <w:b/>
                <w:bCs/>
                <w:sz w:val="18"/>
                <w:szCs w:val="18"/>
              </w:rPr>
              <w:t>OCENA 2015</w:t>
            </w:r>
          </w:p>
        </w:tc>
        <w:tc>
          <w:tcPr>
            <w:tcW w:w="1460" w:type="dxa"/>
            <w:tcBorders>
              <w:top w:val="single" w:sz="8" w:space="0" w:color="969696"/>
              <w:left w:val="nil"/>
              <w:bottom w:val="double" w:sz="6" w:space="0" w:color="969696"/>
              <w:right w:val="single" w:sz="8" w:space="0" w:color="969696"/>
            </w:tcBorders>
            <w:shd w:val="clear" w:color="auto" w:fill="auto"/>
            <w:vAlign w:val="center"/>
          </w:tcPr>
          <w:p w:rsidR="009B4428" w:rsidRPr="009B4428" w:rsidRDefault="009B4428" w:rsidP="005D277E">
            <w:pPr>
              <w:jc w:val="center"/>
              <w:rPr>
                <w:rFonts w:ascii="Arial Narrow" w:hAnsi="Arial Narrow" w:cs="Arial"/>
                <w:b/>
                <w:bCs/>
                <w:sz w:val="18"/>
                <w:szCs w:val="18"/>
              </w:rPr>
            </w:pPr>
            <w:r w:rsidRPr="009B4428">
              <w:rPr>
                <w:rFonts w:ascii="Arial Narrow" w:hAnsi="Arial Narrow" w:cs="Arial"/>
                <w:b/>
                <w:bCs/>
                <w:sz w:val="18"/>
                <w:szCs w:val="18"/>
              </w:rPr>
              <w:t>PLAN 2016</w:t>
            </w:r>
          </w:p>
        </w:tc>
        <w:tc>
          <w:tcPr>
            <w:tcW w:w="1061" w:type="dxa"/>
            <w:tcBorders>
              <w:top w:val="single" w:sz="8" w:space="0" w:color="969696"/>
              <w:left w:val="nil"/>
              <w:bottom w:val="double" w:sz="6" w:space="0" w:color="969696"/>
              <w:right w:val="single" w:sz="2" w:space="0" w:color="BFBFBF" w:themeColor="background1" w:themeShade="BF"/>
            </w:tcBorders>
            <w:shd w:val="clear" w:color="auto" w:fill="auto"/>
          </w:tcPr>
          <w:p w:rsidR="009B4428" w:rsidRPr="009B4428" w:rsidRDefault="009B4428" w:rsidP="005D277E">
            <w:pPr>
              <w:jc w:val="center"/>
              <w:rPr>
                <w:rFonts w:ascii="Arial Narrow" w:hAnsi="Arial Narrow" w:cs="Arial"/>
                <w:bCs/>
                <w:sz w:val="18"/>
                <w:szCs w:val="18"/>
              </w:rPr>
            </w:pPr>
          </w:p>
          <w:p w:rsidR="009B4428" w:rsidRPr="009B4428" w:rsidRDefault="009B4428" w:rsidP="005D277E">
            <w:pPr>
              <w:jc w:val="center"/>
              <w:rPr>
                <w:rFonts w:ascii="Arial Narrow" w:hAnsi="Arial Narrow" w:cs="Arial"/>
                <w:bCs/>
                <w:sz w:val="18"/>
                <w:szCs w:val="18"/>
              </w:rPr>
            </w:pPr>
            <w:r w:rsidRPr="009B4428">
              <w:rPr>
                <w:rFonts w:ascii="Arial Narrow" w:hAnsi="Arial Narrow" w:cs="Arial"/>
                <w:bCs/>
                <w:sz w:val="18"/>
                <w:szCs w:val="18"/>
              </w:rPr>
              <w:t>% sprememba 2016/2015</w:t>
            </w:r>
          </w:p>
        </w:tc>
        <w:tc>
          <w:tcPr>
            <w:tcW w:w="1061" w:type="dxa"/>
            <w:tcBorders>
              <w:top w:val="single" w:sz="8" w:space="0" w:color="969696"/>
              <w:left w:val="single" w:sz="2" w:space="0" w:color="BFBFBF" w:themeColor="background1" w:themeShade="BF"/>
              <w:bottom w:val="double" w:sz="6" w:space="0" w:color="969696"/>
              <w:right w:val="nil"/>
            </w:tcBorders>
            <w:vAlign w:val="bottom"/>
          </w:tcPr>
          <w:p w:rsidR="009B4428" w:rsidRPr="009B4428" w:rsidRDefault="009B4428" w:rsidP="005D277E">
            <w:pPr>
              <w:jc w:val="center"/>
              <w:rPr>
                <w:rFonts w:ascii="Arial Narrow" w:hAnsi="Arial Narrow" w:cs="Arial"/>
                <w:bCs/>
                <w:sz w:val="18"/>
                <w:szCs w:val="18"/>
              </w:rPr>
            </w:pPr>
            <w:r w:rsidRPr="009B4428">
              <w:rPr>
                <w:rFonts w:ascii="Arial Narrow" w:hAnsi="Arial Narrow" w:cs="Arial"/>
                <w:bCs/>
                <w:sz w:val="18"/>
                <w:szCs w:val="18"/>
              </w:rPr>
              <w:t>%</w:t>
            </w:r>
          </w:p>
          <w:p w:rsidR="009B4428" w:rsidRPr="009B4428" w:rsidRDefault="009B4428" w:rsidP="005D277E">
            <w:pPr>
              <w:jc w:val="center"/>
              <w:rPr>
                <w:rFonts w:ascii="Arial Narrow" w:hAnsi="Arial Narrow" w:cs="Arial"/>
                <w:bCs/>
                <w:sz w:val="18"/>
                <w:szCs w:val="18"/>
              </w:rPr>
            </w:pPr>
            <w:r w:rsidRPr="009B4428">
              <w:rPr>
                <w:rFonts w:ascii="Arial Narrow" w:hAnsi="Arial Narrow" w:cs="Arial"/>
                <w:bCs/>
                <w:sz w:val="18"/>
                <w:szCs w:val="18"/>
              </w:rPr>
              <w:t>sprememba</w:t>
            </w:r>
          </w:p>
          <w:p w:rsidR="009B4428" w:rsidRPr="009B4428" w:rsidRDefault="009B4428" w:rsidP="005D277E">
            <w:pPr>
              <w:jc w:val="center"/>
              <w:rPr>
                <w:rFonts w:ascii="Arial Narrow" w:hAnsi="Arial Narrow" w:cs="Arial"/>
                <w:bCs/>
                <w:sz w:val="18"/>
                <w:szCs w:val="18"/>
              </w:rPr>
            </w:pPr>
            <w:r w:rsidRPr="009B4428">
              <w:rPr>
                <w:rFonts w:ascii="Arial Narrow" w:hAnsi="Arial Narrow" w:cs="Arial"/>
                <w:bCs/>
                <w:sz w:val="18"/>
                <w:szCs w:val="18"/>
              </w:rPr>
              <w:t>2016/2014</w:t>
            </w:r>
          </w:p>
        </w:tc>
      </w:tr>
      <w:tr w:rsidR="009B4428" w:rsidRPr="009B4428" w:rsidTr="005D277E">
        <w:trPr>
          <w:trHeight w:val="675"/>
          <w:jc w:val="center"/>
        </w:trPr>
        <w:tc>
          <w:tcPr>
            <w:tcW w:w="2762"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Prodaja</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160.670.852</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163.933.820</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162.432.431</w:t>
            </w:r>
          </w:p>
        </w:tc>
        <w:tc>
          <w:tcPr>
            <w:tcW w:w="1061" w:type="dxa"/>
            <w:tcBorders>
              <w:top w:val="nil"/>
              <w:left w:val="nil"/>
              <w:bottom w:val="single" w:sz="4"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- 1</w:t>
            </w:r>
          </w:p>
        </w:tc>
        <w:tc>
          <w:tcPr>
            <w:tcW w:w="1061" w:type="dxa"/>
            <w:tcBorders>
              <w:top w:val="nil"/>
              <w:left w:val="single" w:sz="2" w:space="0" w:color="BFBFBF" w:themeColor="background1" w:themeShade="BF"/>
              <w:bottom w:val="single" w:sz="4"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+ 1</w:t>
            </w:r>
          </w:p>
        </w:tc>
      </w:tr>
      <w:tr w:rsidR="009B4428" w:rsidRPr="009B4428" w:rsidTr="005D277E">
        <w:trPr>
          <w:trHeight w:val="360"/>
          <w:jc w:val="center"/>
        </w:trPr>
        <w:tc>
          <w:tcPr>
            <w:tcW w:w="2762"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Izvoz</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137.839.930</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142.005.790</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141.391.076</w:t>
            </w:r>
          </w:p>
        </w:tc>
        <w:tc>
          <w:tcPr>
            <w:tcW w:w="1061" w:type="dxa"/>
            <w:tcBorders>
              <w:top w:val="nil"/>
              <w:left w:val="nil"/>
              <w:bottom w:val="single" w:sz="8"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w:t>
            </w:r>
          </w:p>
        </w:tc>
        <w:tc>
          <w:tcPr>
            <w:tcW w:w="1061" w:type="dxa"/>
            <w:tcBorders>
              <w:top w:val="nil"/>
              <w:left w:val="single" w:sz="2" w:space="0" w:color="BFBFBF" w:themeColor="background1" w:themeShade="BF"/>
              <w:bottom w:val="single" w:sz="8"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+ 3</w:t>
            </w:r>
          </w:p>
        </w:tc>
      </w:tr>
      <w:tr w:rsidR="009B4428" w:rsidRPr="009B4428" w:rsidTr="005D277E">
        <w:trPr>
          <w:trHeight w:val="525"/>
          <w:jc w:val="center"/>
        </w:trPr>
        <w:tc>
          <w:tcPr>
            <w:tcW w:w="2762"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Poslovni izid iz poslovanja (EBIT)</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16.241.861</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7.906.780</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4.423.767</w:t>
            </w:r>
          </w:p>
        </w:tc>
        <w:tc>
          <w:tcPr>
            <w:tcW w:w="1061" w:type="dxa"/>
            <w:tcBorders>
              <w:top w:val="nil"/>
              <w:left w:val="nil"/>
              <w:bottom w:val="single" w:sz="4"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- 44</w:t>
            </w:r>
          </w:p>
        </w:tc>
        <w:tc>
          <w:tcPr>
            <w:tcW w:w="1061" w:type="dxa"/>
            <w:tcBorders>
              <w:top w:val="nil"/>
              <w:left w:val="single" w:sz="2" w:space="0" w:color="BFBFBF" w:themeColor="background1" w:themeShade="BF"/>
              <w:bottom w:val="single" w:sz="4"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- 73</w:t>
            </w:r>
          </w:p>
        </w:tc>
      </w:tr>
      <w:tr w:rsidR="009B4428" w:rsidRPr="009B4428" w:rsidTr="005D277E">
        <w:trPr>
          <w:trHeight w:val="600"/>
          <w:jc w:val="center"/>
        </w:trPr>
        <w:tc>
          <w:tcPr>
            <w:tcW w:w="2762"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Poslovni izid iz poslov</w:t>
            </w:r>
            <w:r w:rsidRPr="009B4428">
              <w:rPr>
                <w:rFonts w:ascii="Arial Narrow" w:hAnsi="Arial Narrow"/>
                <w:b/>
                <w:bCs/>
                <w:sz w:val="18"/>
                <w:szCs w:val="18"/>
              </w:rPr>
              <w:t>a</w:t>
            </w:r>
            <w:r w:rsidRPr="009B4428">
              <w:rPr>
                <w:rFonts w:ascii="Arial Narrow" w:hAnsi="Arial Narrow"/>
                <w:sz w:val="18"/>
                <w:szCs w:val="18"/>
              </w:rPr>
              <w:t xml:space="preserve">nja </w:t>
            </w:r>
          </w:p>
          <w:p w:rsidR="009B4428" w:rsidRPr="009B4428" w:rsidRDefault="009B4428" w:rsidP="005D277E">
            <w:pPr>
              <w:rPr>
                <w:rFonts w:ascii="Arial Narrow" w:hAnsi="Arial Narrow"/>
                <w:sz w:val="18"/>
                <w:szCs w:val="18"/>
              </w:rPr>
            </w:pPr>
            <w:r w:rsidRPr="009B4428">
              <w:rPr>
                <w:rFonts w:ascii="Arial Narrow" w:hAnsi="Arial Narrow"/>
                <w:sz w:val="18"/>
                <w:szCs w:val="18"/>
              </w:rPr>
              <w:t>+ amortizacija (EBITDA)</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28.539.660</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20.552.952</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16.736.646</w:t>
            </w:r>
          </w:p>
        </w:tc>
        <w:tc>
          <w:tcPr>
            <w:tcW w:w="1061" w:type="dxa"/>
            <w:tcBorders>
              <w:top w:val="nil"/>
              <w:left w:val="nil"/>
              <w:bottom w:val="single" w:sz="4"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- 19</w:t>
            </w:r>
          </w:p>
        </w:tc>
        <w:tc>
          <w:tcPr>
            <w:tcW w:w="1061" w:type="dxa"/>
            <w:tcBorders>
              <w:top w:val="nil"/>
              <w:left w:val="single" w:sz="2" w:space="0" w:color="BFBFBF" w:themeColor="background1" w:themeShade="BF"/>
              <w:bottom w:val="single" w:sz="4"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- 41</w:t>
            </w:r>
          </w:p>
        </w:tc>
      </w:tr>
      <w:tr w:rsidR="009B4428" w:rsidRPr="009B4428" w:rsidTr="005D277E">
        <w:trPr>
          <w:trHeight w:val="665"/>
          <w:jc w:val="center"/>
        </w:trPr>
        <w:tc>
          <w:tcPr>
            <w:tcW w:w="2762"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Čisti poslovni izid</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13.932.441</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7.004.466</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3.906.967</w:t>
            </w:r>
          </w:p>
        </w:tc>
        <w:tc>
          <w:tcPr>
            <w:tcW w:w="1061" w:type="dxa"/>
            <w:tcBorders>
              <w:top w:val="nil"/>
              <w:left w:val="nil"/>
              <w:bottom w:val="single" w:sz="8"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- 44</w:t>
            </w:r>
          </w:p>
        </w:tc>
        <w:tc>
          <w:tcPr>
            <w:tcW w:w="1061" w:type="dxa"/>
            <w:tcBorders>
              <w:top w:val="nil"/>
              <w:left w:val="single" w:sz="2" w:space="0" w:color="BFBFBF" w:themeColor="background1" w:themeShade="BF"/>
              <w:bottom w:val="single" w:sz="8"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- 72</w:t>
            </w:r>
          </w:p>
        </w:tc>
      </w:tr>
      <w:tr w:rsidR="009B4428" w:rsidRPr="009B4428" w:rsidTr="005D277E">
        <w:trPr>
          <w:trHeight w:val="615"/>
          <w:jc w:val="center"/>
        </w:trPr>
        <w:tc>
          <w:tcPr>
            <w:tcW w:w="2762" w:type="dxa"/>
            <w:tcBorders>
              <w:top w:val="single" w:sz="4" w:space="0" w:color="969696"/>
              <w:left w:val="nil"/>
              <w:bottom w:val="single" w:sz="4"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Prihodki</w:t>
            </w:r>
          </w:p>
        </w:tc>
        <w:tc>
          <w:tcPr>
            <w:tcW w:w="1460" w:type="dxa"/>
            <w:tcBorders>
              <w:top w:val="single" w:sz="4" w:space="0" w:color="969696"/>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170.105.668</w:t>
            </w:r>
          </w:p>
        </w:tc>
        <w:tc>
          <w:tcPr>
            <w:tcW w:w="1460" w:type="dxa"/>
            <w:tcBorders>
              <w:top w:val="single" w:sz="4" w:space="0" w:color="969696"/>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168.257.503</w:t>
            </w:r>
          </w:p>
        </w:tc>
        <w:tc>
          <w:tcPr>
            <w:tcW w:w="1460" w:type="dxa"/>
            <w:tcBorders>
              <w:top w:val="single" w:sz="4" w:space="0" w:color="969696"/>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165.749.645</w:t>
            </w:r>
          </w:p>
        </w:tc>
        <w:tc>
          <w:tcPr>
            <w:tcW w:w="1061" w:type="dxa"/>
            <w:tcBorders>
              <w:top w:val="single" w:sz="4" w:space="0" w:color="969696"/>
              <w:left w:val="nil"/>
              <w:bottom w:val="single" w:sz="4"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- 2 </w:t>
            </w:r>
          </w:p>
        </w:tc>
        <w:tc>
          <w:tcPr>
            <w:tcW w:w="1061" w:type="dxa"/>
            <w:tcBorders>
              <w:top w:val="single" w:sz="4" w:space="0" w:color="969696"/>
              <w:left w:val="single" w:sz="2" w:space="0" w:color="BFBFBF" w:themeColor="background1" w:themeShade="BF"/>
              <w:bottom w:val="single" w:sz="4"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- 3 </w:t>
            </w:r>
          </w:p>
        </w:tc>
      </w:tr>
      <w:tr w:rsidR="009B4428" w:rsidRPr="009B4428" w:rsidTr="005D277E">
        <w:trPr>
          <w:trHeight w:val="360"/>
          <w:jc w:val="center"/>
        </w:trPr>
        <w:tc>
          <w:tcPr>
            <w:tcW w:w="2762"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Odhodki</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154.034.050</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160.247.214</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161.258.878</w:t>
            </w:r>
          </w:p>
        </w:tc>
        <w:tc>
          <w:tcPr>
            <w:tcW w:w="1061" w:type="dxa"/>
            <w:tcBorders>
              <w:top w:val="nil"/>
              <w:left w:val="nil"/>
              <w:bottom w:val="single" w:sz="8"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+ 1</w:t>
            </w:r>
          </w:p>
        </w:tc>
        <w:tc>
          <w:tcPr>
            <w:tcW w:w="1061" w:type="dxa"/>
            <w:tcBorders>
              <w:top w:val="nil"/>
              <w:left w:val="single" w:sz="2" w:space="0" w:color="BFBFBF" w:themeColor="background1" w:themeShade="BF"/>
              <w:bottom w:val="single" w:sz="8"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+ 5</w:t>
            </w:r>
          </w:p>
        </w:tc>
      </w:tr>
      <w:tr w:rsidR="009B4428" w:rsidRPr="009B4428" w:rsidTr="005D277E">
        <w:trPr>
          <w:trHeight w:val="585"/>
          <w:jc w:val="center"/>
        </w:trPr>
        <w:tc>
          <w:tcPr>
            <w:tcW w:w="2762"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Stroški dela</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29.717.369</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28.853.981</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26.878.734</w:t>
            </w:r>
          </w:p>
        </w:tc>
        <w:tc>
          <w:tcPr>
            <w:tcW w:w="1061" w:type="dxa"/>
            <w:tcBorders>
              <w:top w:val="nil"/>
              <w:left w:val="nil"/>
              <w:bottom w:val="single" w:sz="4"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- 7</w:t>
            </w:r>
          </w:p>
        </w:tc>
        <w:tc>
          <w:tcPr>
            <w:tcW w:w="1061" w:type="dxa"/>
            <w:tcBorders>
              <w:top w:val="nil"/>
              <w:left w:val="single" w:sz="2" w:space="0" w:color="BFBFBF" w:themeColor="background1" w:themeShade="BF"/>
              <w:bottom w:val="single" w:sz="4"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- 10</w:t>
            </w:r>
          </w:p>
        </w:tc>
      </w:tr>
      <w:tr w:rsidR="009B4428" w:rsidRPr="009B4428" w:rsidTr="005D277E">
        <w:trPr>
          <w:trHeight w:val="360"/>
          <w:jc w:val="center"/>
        </w:trPr>
        <w:tc>
          <w:tcPr>
            <w:tcW w:w="2762"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Dodana vrednost</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58.671.391</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49.458.313</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44.235.380</w:t>
            </w:r>
          </w:p>
        </w:tc>
        <w:tc>
          <w:tcPr>
            <w:tcW w:w="1061" w:type="dxa"/>
            <w:tcBorders>
              <w:top w:val="nil"/>
              <w:left w:val="nil"/>
              <w:bottom w:val="single" w:sz="4"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- 11</w:t>
            </w:r>
          </w:p>
        </w:tc>
        <w:tc>
          <w:tcPr>
            <w:tcW w:w="1061" w:type="dxa"/>
            <w:tcBorders>
              <w:top w:val="nil"/>
              <w:left w:val="single" w:sz="2" w:space="0" w:color="BFBFBF" w:themeColor="background1" w:themeShade="BF"/>
              <w:bottom w:val="single" w:sz="4"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- 25</w:t>
            </w:r>
          </w:p>
        </w:tc>
      </w:tr>
      <w:tr w:rsidR="009B4428" w:rsidRPr="009B4428" w:rsidTr="005D277E">
        <w:trPr>
          <w:trHeight w:val="360"/>
          <w:jc w:val="center"/>
        </w:trPr>
        <w:tc>
          <w:tcPr>
            <w:tcW w:w="2762"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Dodana vrednost na zaposlenega</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61.308</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51.252</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47.616</w:t>
            </w:r>
          </w:p>
        </w:tc>
        <w:tc>
          <w:tcPr>
            <w:tcW w:w="1061" w:type="dxa"/>
            <w:tcBorders>
              <w:top w:val="nil"/>
              <w:left w:val="nil"/>
              <w:bottom w:val="single" w:sz="8"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- 7</w:t>
            </w:r>
          </w:p>
        </w:tc>
        <w:tc>
          <w:tcPr>
            <w:tcW w:w="1061" w:type="dxa"/>
            <w:tcBorders>
              <w:top w:val="nil"/>
              <w:left w:val="single" w:sz="2" w:space="0" w:color="BFBFBF" w:themeColor="background1" w:themeShade="BF"/>
              <w:bottom w:val="single" w:sz="8"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- 22</w:t>
            </w:r>
          </w:p>
        </w:tc>
      </w:tr>
      <w:tr w:rsidR="009B4428" w:rsidRPr="009B4428" w:rsidTr="005D277E">
        <w:trPr>
          <w:trHeight w:val="420"/>
          <w:jc w:val="center"/>
        </w:trPr>
        <w:tc>
          <w:tcPr>
            <w:tcW w:w="2762" w:type="dxa"/>
            <w:tcBorders>
              <w:top w:val="single" w:sz="4" w:space="0" w:color="969696"/>
              <w:left w:val="nil"/>
              <w:bottom w:val="single" w:sz="8"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Proizvodnja v EE</w:t>
            </w:r>
          </w:p>
        </w:tc>
        <w:tc>
          <w:tcPr>
            <w:tcW w:w="1460" w:type="dxa"/>
            <w:tcBorders>
              <w:top w:val="single" w:sz="4" w:space="0" w:color="969696"/>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59.282.908</w:t>
            </w:r>
          </w:p>
        </w:tc>
        <w:tc>
          <w:tcPr>
            <w:tcW w:w="1460" w:type="dxa"/>
            <w:tcBorders>
              <w:top w:val="single" w:sz="4" w:space="0" w:color="969696"/>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60.113.566</w:t>
            </w:r>
          </w:p>
        </w:tc>
        <w:tc>
          <w:tcPr>
            <w:tcW w:w="1460" w:type="dxa"/>
            <w:tcBorders>
              <w:top w:val="single" w:sz="4" w:space="0" w:color="969696"/>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60.388.146</w:t>
            </w:r>
          </w:p>
        </w:tc>
        <w:tc>
          <w:tcPr>
            <w:tcW w:w="1061" w:type="dxa"/>
            <w:tcBorders>
              <w:top w:val="single" w:sz="4" w:space="0" w:color="969696"/>
              <w:left w:val="nil"/>
              <w:bottom w:val="single" w:sz="8"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+ 1</w:t>
            </w:r>
          </w:p>
        </w:tc>
        <w:tc>
          <w:tcPr>
            <w:tcW w:w="1061" w:type="dxa"/>
            <w:tcBorders>
              <w:top w:val="single" w:sz="4" w:space="0" w:color="969696"/>
              <w:left w:val="single" w:sz="2" w:space="0" w:color="BFBFBF" w:themeColor="background1" w:themeShade="BF"/>
              <w:bottom w:val="single" w:sz="8"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+ 2</w:t>
            </w:r>
          </w:p>
        </w:tc>
      </w:tr>
      <w:tr w:rsidR="009B4428" w:rsidRPr="009B4428" w:rsidTr="005D277E">
        <w:trPr>
          <w:trHeight w:val="675"/>
          <w:jc w:val="center"/>
        </w:trPr>
        <w:tc>
          <w:tcPr>
            <w:tcW w:w="2762" w:type="dxa"/>
            <w:tcBorders>
              <w:top w:val="single" w:sz="4" w:space="0" w:color="969696"/>
              <w:left w:val="nil"/>
              <w:bottom w:val="single" w:sz="4"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Sredstva</w:t>
            </w:r>
          </w:p>
        </w:tc>
        <w:tc>
          <w:tcPr>
            <w:tcW w:w="1460" w:type="dxa"/>
            <w:tcBorders>
              <w:top w:val="single" w:sz="4" w:space="0" w:color="969696"/>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182.947.471</w:t>
            </w:r>
          </w:p>
        </w:tc>
        <w:tc>
          <w:tcPr>
            <w:tcW w:w="1460" w:type="dxa"/>
            <w:tcBorders>
              <w:top w:val="single" w:sz="4" w:space="0" w:color="969696"/>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181.001.532</w:t>
            </w:r>
          </w:p>
        </w:tc>
        <w:tc>
          <w:tcPr>
            <w:tcW w:w="1460" w:type="dxa"/>
            <w:tcBorders>
              <w:top w:val="single" w:sz="4" w:space="0" w:color="969696"/>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174.888.257</w:t>
            </w:r>
          </w:p>
        </w:tc>
        <w:tc>
          <w:tcPr>
            <w:tcW w:w="1061" w:type="dxa"/>
            <w:tcBorders>
              <w:top w:val="single" w:sz="4" w:space="0" w:color="969696"/>
              <w:left w:val="nil"/>
              <w:bottom w:val="single" w:sz="4"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- 3</w:t>
            </w:r>
          </w:p>
        </w:tc>
        <w:tc>
          <w:tcPr>
            <w:tcW w:w="1061" w:type="dxa"/>
            <w:tcBorders>
              <w:top w:val="single" w:sz="4" w:space="0" w:color="969696"/>
              <w:left w:val="single" w:sz="2" w:space="0" w:color="BFBFBF" w:themeColor="background1" w:themeShade="BF"/>
              <w:bottom w:val="single" w:sz="4"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- 4</w:t>
            </w:r>
          </w:p>
        </w:tc>
      </w:tr>
      <w:tr w:rsidR="009B4428" w:rsidRPr="009B4428" w:rsidTr="005D277E">
        <w:trPr>
          <w:trHeight w:val="360"/>
          <w:jc w:val="center"/>
        </w:trPr>
        <w:tc>
          <w:tcPr>
            <w:tcW w:w="2762"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Kapital</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140.115.231</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140.156.770</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140.560.845</w:t>
            </w:r>
          </w:p>
        </w:tc>
        <w:tc>
          <w:tcPr>
            <w:tcW w:w="1061" w:type="dxa"/>
            <w:tcBorders>
              <w:top w:val="nil"/>
              <w:left w:val="nil"/>
              <w:bottom w:val="single" w:sz="4"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w:t>
            </w:r>
          </w:p>
        </w:tc>
        <w:tc>
          <w:tcPr>
            <w:tcW w:w="1061" w:type="dxa"/>
            <w:tcBorders>
              <w:top w:val="nil"/>
              <w:left w:val="single" w:sz="2" w:space="0" w:color="BFBFBF" w:themeColor="background1" w:themeShade="BF"/>
              <w:bottom w:val="single" w:sz="4"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w:t>
            </w:r>
          </w:p>
        </w:tc>
      </w:tr>
      <w:tr w:rsidR="009B4428" w:rsidRPr="009B4428" w:rsidTr="005D277E">
        <w:trPr>
          <w:trHeight w:val="345"/>
          <w:jc w:val="center"/>
        </w:trPr>
        <w:tc>
          <w:tcPr>
            <w:tcW w:w="2762"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Investicije</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8.708.590</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5.844.628</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11.051.051</w:t>
            </w:r>
          </w:p>
        </w:tc>
        <w:tc>
          <w:tcPr>
            <w:tcW w:w="1061" w:type="dxa"/>
            <w:tcBorders>
              <w:top w:val="nil"/>
              <w:left w:val="nil"/>
              <w:bottom w:val="single" w:sz="4"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+ 89</w:t>
            </w:r>
          </w:p>
        </w:tc>
        <w:tc>
          <w:tcPr>
            <w:tcW w:w="1061" w:type="dxa"/>
            <w:tcBorders>
              <w:top w:val="nil"/>
              <w:left w:val="single" w:sz="2" w:space="0" w:color="BFBFBF" w:themeColor="background1" w:themeShade="BF"/>
              <w:bottom w:val="single" w:sz="4"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+ 27</w:t>
            </w:r>
          </w:p>
        </w:tc>
      </w:tr>
      <w:tr w:rsidR="009B4428" w:rsidRPr="009B4428" w:rsidTr="005D277E">
        <w:trPr>
          <w:trHeight w:val="345"/>
          <w:jc w:val="center"/>
        </w:trPr>
        <w:tc>
          <w:tcPr>
            <w:tcW w:w="2762"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Finančni dolg</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39.441</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45.120</w:t>
            </w:r>
          </w:p>
        </w:tc>
        <w:tc>
          <w:tcPr>
            <w:tcW w:w="1460" w:type="dxa"/>
            <w:tcBorders>
              <w:top w:val="nil"/>
              <w:left w:val="nil"/>
              <w:bottom w:val="single" w:sz="4"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20.000</w:t>
            </w:r>
          </w:p>
        </w:tc>
        <w:tc>
          <w:tcPr>
            <w:tcW w:w="1061" w:type="dxa"/>
            <w:tcBorders>
              <w:top w:val="nil"/>
              <w:left w:val="nil"/>
              <w:bottom w:val="single" w:sz="4"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- 56</w:t>
            </w:r>
          </w:p>
        </w:tc>
        <w:tc>
          <w:tcPr>
            <w:tcW w:w="1061" w:type="dxa"/>
            <w:tcBorders>
              <w:top w:val="nil"/>
              <w:left w:val="single" w:sz="2" w:space="0" w:color="BFBFBF" w:themeColor="background1" w:themeShade="BF"/>
              <w:bottom w:val="single" w:sz="4"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- 49</w:t>
            </w:r>
          </w:p>
        </w:tc>
      </w:tr>
      <w:tr w:rsidR="009B4428" w:rsidRPr="009B4428" w:rsidTr="005D277E">
        <w:trPr>
          <w:trHeight w:val="390"/>
          <w:jc w:val="center"/>
        </w:trPr>
        <w:tc>
          <w:tcPr>
            <w:tcW w:w="2762"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Donos na kapital (ROE)</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11,18</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5,33</w:t>
            </w:r>
          </w:p>
        </w:tc>
        <w:tc>
          <w:tcPr>
            <w:tcW w:w="1460" w:type="dxa"/>
            <w:tcBorders>
              <w:top w:val="nil"/>
              <w:left w:val="nil"/>
              <w:bottom w:val="single" w:sz="8"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2,90</w:t>
            </w:r>
          </w:p>
        </w:tc>
        <w:tc>
          <w:tcPr>
            <w:tcW w:w="1061" w:type="dxa"/>
            <w:tcBorders>
              <w:top w:val="nil"/>
              <w:left w:val="nil"/>
              <w:bottom w:val="single" w:sz="8"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- 46</w:t>
            </w:r>
          </w:p>
        </w:tc>
        <w:tc>
          <w:tcPr>
            <w:tcW w:w="1061" w:type="dxa"/>
            <w:tcBorders>
              <w:top w:val="nil"/>
              <w:left w:val="single" w:sz="2" w:space="0" w:color="BFBFBF" w:themeColor="background1" w:themeShade="BF"/>
              <w:bottom w:val="single" w:sz="8" w:space="0" w:color="969696"/>
              <w:right w:val="nil"/>
            </w:tcBorders>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xml:space="preserve">  - 74</w:t>
            </w:r>
          </w:p>
        </w:tc>
      </w:tr>
      <w:tr w:rsidR="009B4428" w:rsidRPr="009B4428" w:rsidTr="005D277E">
        <w:trPr>
          <w:trHeight w:val="435"/>
          <w:jc w:val="center"/>
        </w:trPr>
        <w:tc>
          <w:tcPr>
            <w:tcW w:w="2762" w:type="dxa"/>
            <w:tcBorders>
              <w:top w:val="nil"/>
              <w:left w:val="nil"/>
              <w:bottom w:val="single" w:sz="12" w:space="0" w:color="969696"/>
              <w:right w:val="single" w:sz="4" w:space="0" w:color="969696"/>
            </w:tcBorders>
            <w:shd w:val="clear" w:color="auto" w:fill="auto"/>
            <w:vAlign w:val="bottom"/>
          </w:tcPr>
          <w:p w:rsidR="009B4428" w:rsidRPr="009B4428" w:rsidRDefault="009B4428" w:rsidP="005D277E">
            <w:pPr>
              <w:rPr>
                <w:rFonts w:ascii="Arial Narrow" w:hAnsi="Arial Narrow"/>
                <w:sz w:val="18"/>
                <w:szCs w:val="18"/>
              </w:rPr>
            </w:pPr>
            <w:r w:rsidRPr="009B4428">
              <w:rPr>
                <w:rFonts w:ascii="Arial Narrow" w:hAnsi="Arial Narrow"/>
                <w:sz w:val="18"/>
                <w:szCs w:val="18"/>
              </w:rPr>
              <w:t>Število zaposlenih konec obdobja</w:t>
            </w:r>
          </w:p>
        </w:tc>
        <w:tc>
          <w:tcPr>
            <w:tcW w:w="1460" w:type="dxa"/>
            <w:tcBorders>
              <w:top w:val="nil"/>
              <w:left w:val="nil"/>
              <w:bottom w:val="single" w:sz="12"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989</w:t>
            </w:r>
          </w:p>
        </w:tc>
        <w:tc>
          <w:tcPr>
            <w:tcW w:w="1460" w:type="dxa"/>
            <w:tcBorders>
              <w:top w:val="nil"/>
              <w:left w:val="nil"/>
              <w:bottom w:val="single" w:sz="12"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965</w:t>
            </w:r>
          </w:p>
        </w:tc>
        <w:tc>
          <w:tcPr>
            <w:tcW w:w="1460" w:type="dxa"/>
            <w:tcBorders>
              <w:top w:val="nil"/>
              <w:left w:val="nil"/>
              <w:bottom w:val="single" w:sz="12" w:space="0" w:color="969696"/>
              <w:right w:val="single" w:sz="4" w:space="0" w:color="969696"/>
            </w:tcBorders>
            <w:shd w:val="clear" w:color="auto" w:fill="auto"/>
            <w:vAlign w:val="bottom"/>
          </w:tcPr>
          <w:p w:rsidR="009B4428" w:rsidRPr="009B4428" w:rsidRDefault="009B4428" w:rsidP="005D277E">
            <w:pPr>
              <w:jc w:val="right"/>
              <w:rPr>
                <w:rFonts w:ascii="Arial Narrow" w:hAnsi="Arial Narrow" w:cs="Arial"/>
                <w:sz w:val="18"/>
                <w:szCs w:val="18"/>
              </w:rPr>
            </w:pPr>
            <w:r w:rsidRPr="009B4428">
              <w:rPr>
                <w:rFonts w:ascii="Arial Narrow" w:hAnsi="Arial Narrow" w:cs="Arial"/>
                <w:sz w:val="18"/>
                <w:szCs w:val="18"/>
              </w:rPr>
              <w:t>953</w:t>
            </w:r>
          </w:p>
        </w:tc>
        <w:tc>
          <w:tcPr>
            <w:tcW w:w="1061" w:type="dxa"/>
            <w:tcBorders>
              <w:top w:val="nil"/>
              <w:left w:val="nil"/>
              <w:bottom w:val="single" w:sz="12" w:space="0" w:color="969696"/>
              <w:right w:val="single" w:sz="2" w:space="0" w:color="BFBFBF" w:themeColor="background1" w:themeShade="BF"/>
            </w:tcBorders>
            <w:shd w:val="clear" w:color="auto" w:fill="auto"/>
            <w:vAlign w:val="bottom"/>
          </w:tcPr>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- 1</w:t>
            </w:r>
          </w:p>
        </w:tc>
        <w:tc>
          <w:tcPr>
            <w:tcW w:w="1061" w:type="dxa"/>
            <w:tcBorders>
              <w:top w:val="nil"/>
              <w:left w:val="single" w:sz="2" w:space="0" w:color="BFBFBF" w:themeColor="background1" w:themeShade="BF"/>
              <w:bottom w:val="single" w:sz="12" w:space="0" w:color="969696"/>
              <w:right w:val="nil"/>
            </w:tcBorders>
            <w:vAlign w:val="bottom"/>
          </w:tcPr>
          <w:p w:rsidR="009B4428" w:rsidRPr="009B4428" w:rsidRDefault="009B4428" w:rsidP="005D277E">
            <w:pPr>
              <w:jc w:val="center"/>
              <w:rPr>
                <w:rFonts w:ascii="Arial Narrow" w:hAnsi="Arial Narrow" w:cs="Arial"/>
                <w:sz w:val="18"/>
                <w:szCs w:val="18"/>
              </w:rPr>
            </w:pPr>
          </w:p>
          <w:p w:rsidR="009B4428" w:rsidRPr="009B4428" w:rsidRDefault="009B4428" w:rsidP="005D277E">
            <w:pPr>
              <w:jc w:val="center"/>
              <w:rPr>
                <w:rFonts w:ascii="Arial Narrow" w:hAnsi="Arial Narrow" w:cs="Arial"/>
                <w:sz w:val="18"/>
                <w:szCs w:val="18"/>
              </w:rPr>
            </w:pPr>
            <w:r w:rsidRPr="009B4428">
              <w:rPr>
                <w:rFonts w:ascii="Arial Narrow" w:hAnsi="Arial Narrow" w:cs="Arial"/>
                <w:sz w:val="18"/>
                <w:szCs w:val="18"/>
              </w:rPr>
              <w:t>- 4</w:t>
            </w:r>
          </w:p>
        </w:tc>
      </w:tr>
    </w:tbl>
    <w:p w:rsidR="00F66B34" w:rsidRDefault="00F66B34">
      <w:pPr>
        <w:jc w:val="left"/>
        <w:rPr>
          <w:sz w:val="18"/>
          <w:szCs w:val="18"/>
        </w:rPr>
      </w:pPr>
    </w:p>
    <w:p w:rsidR="00F66B34" w:rsidRPr="00F66B34" w:rsidRDefault="00F66B34" w:rsidP="00F66B34">
      <w:pPr>
        <w:pStyle w:val="Naslov7"/>
        <w:rPr>
          <w:rFonts w:ascii="Verdana" w:hAnsi="Verdana"/>
          <w:b w:val="0"/>
          <w:i/>
          <w:sz w:val="18"/>
          <w:szCs w:val="18"/>
        </w:rPr>
      </w:pPr>
      <w:r w:rsidRPr="00F66B34">
        <w:rPr>
          <w:rFonts w:ascii="Verdana" w:hAnsi="Verdana"/>
          <w:b w:val="0"/>
          <w:i/>
          <w:sz w:val="18"/>
          <w:szCs w:val="18"/>
        </w:rPr>
        <w:t>Vse vrednosti so v evrih (€) z izjemo:</w:t>
      </w:r>
    </w:p>
    <w:p w:rsidR="00F66B34" w:rsidRPr="00F66B34" w:rsidRDefault="00F66B34" w:rsidP="00F66B34">
      <w:pPr>
        <w:rPr>
          <w:sz w:val="18"/>
          <w:szCs w:val="18"/>
        </w:rPr>
      </w:pPr>
    </w:p>
    <w:p w:rsidR="00F66B34" w:rsidRPr="00F66B34" w:rsidRDefault="00F66B34" w:rsidP="00F66B34">
      <w:pPr>
        <w:numPr>
          <w:ilvl w:val="0"/>
          <w:numId w:val="2"/>
        </w:numPr>
        <w:jc w:val="left"/>
        <w:rPr>
          <w:i/>
          <w:sz w:val="18"/>
          <w:szCs w:val="18"/>
        </w:rPr>
      </w:pPr>
      <w:r w:rsidRPr="00F66B34">
        <w:rPr>
          <w:i/>
          <w:sz w:val="18"/>
          <w:szCs w:val="18"/>
        </w:rPr>
        <w:t>Proizvodnje v EE (stalne cene)</w:t>
      </w:r>
    </w:p>
    <w:p w:rsidR="00F66B34" w:rsidRPr="00F66B34" w:rsidRDefault="00F66B34" w:rsidP="00F66B34">
      <w:pPr>
        <w:numPr>
          <w:ilvl w:val="0"/>
          <w:numId w:val="2"/>
        </w:numPr>
        <w:jc w:val="left"/>
        <w:rPr>
          <w:i/>
          <w:sz w:val="18"/>
          <w:szCs w:val="18"/>
        </w:rPr>
      </w:pPr>
      <w:r w:rsidRPr="00F66B34">
        <w:rPr>
          <w:i/>
          <w:sz w:val="18"/>
          <w:szCs w:val="18"/>
        </w:rPr>
        <w:t>Donosa na kapital (v %)</w:t>
      </w:r>
    </w:p>
    <w:p w:rsidR="00F66B34" w:rsidRPr="00F66B34" w:rsidRDefault="00F66B34" w:rsidP="00F66B34">
      <w:pPr>
        <w:numPr>
          <w:ilvl w:val="0"/>
          <w:numId w:val="2"/>
        </w:numPr>
        <w:jc w:val="left"/>
        <w:rPr>
          <w:i/>
          <w:sz w:val="18"/>
          <w:szCs w:val="18"/>
        </w:rPr>
      </w:pPr>
      <w:r w:rsidRPr="00F66B34">
        <w:rPr>
          <w:i/>
          <w:sz w:val="18"/>
          <w:szCs w:val="18"/>
        </w:rPr>
        <w:t>Števila zaposlenih konec obdobja (št. ljudi)</w:t>
      </w:r>
    </w:p>
    <w:p w:rsidR="00F66B34" w:rsidRDefault="00F66B34" w:rsidP="00231E22">
      <w:pPr>
        <w:spacing w:line="264" w:lineRule="auto"/>
        <w:rPr>
          <w:sz w:val="18"/>
          <w:szCs w:val="18"/>
        </w:rPr>
      </w:pPr>
    </w:p>
    <w:p w:rsidR="00F07A23" w:rsidRPr="007A1949" w:rsidRDefault="00F07A23" w:rsidP="00F07A23">
      <w:pPr>
        <w:rPr>
          <w:b/>
          <w:iCs/>
          <w:color w:val="FF0000"/>
          <w:sz w:val="28"/>
          <w:szCs w:val="28"/>
        </w:rPr>
      </w:pPr>
      <w:r w:rsidRPr="007A1949">
        <w:rPr>
          <w:b/>
          <w:iCs/>
          <w:color w:val="FF0000"/>
          <w:sz w:val="28"/>
          <w:szCs w:val="28"/>
        </w:rPr>
        <w:lastRenderedPageBreak/>
        <w:t>Poslovni načrt 201</w:t>
      </w:r>
      <w:r w:rsidR="009B4428">
        <w:rPr>
          <w:b/>
          <w:iCs/>
          <w:color w:val="FF0000"/>
          <w:sz w:val="28"/>
          <w:szCs w:val="28"/>
        </w:rPr>
        <w:t>6</w:t>
      </w:r>
      <w:r w:rsidRPr="007A1949">
        <w:rPr>
          <w:b/>
          <w:iCs/>
          <w:color w:val="FF0000"/>
          <w:sz w:val="28"/>
          <w:szCs w:val="28"/>
        </w:rPr>
        <w:t xml:space="preserve"> – komentar vodstva</w:t>
      </w:r>
    </w:p>
    <w:p w:rsidR="000A7C17" w:rsidRDefault="000A7C17" w:rsidP="00F07A23">
      <w:pPr>
        <w:spacing w:line="264" w:lineRule="auto"/>
        <w:rPr>
          <w:sz w:val="18"/>
          <w:szCs w:val="18"/>
        </w:rPr>
      </w:pPr>
    </w:p>
    <w:p w:rsidR="009B4428" w:rsidRPr="00263D5C" w:rsidRDefault="009B4428" w:rsidP="009B4428">
      <w:pPr>
        <w:pStyle w:val="Telobesedila"/>
        <w:spacing w:line="288" w:lineRule="auto"/>
        <w:rPr>
          <w:rFonts w:ascii="Verdana" w:hAnsi="Verdana"/>
          <w:sz w:val="18"/>
          <w:szCs w:val="18"/>
        </w:rPr>
      </w:pPr>
      <w:r w:rsidRPr="00263D5C">
        <w:rPr>
          <w:rFonts w:ascii="Verdana" w:hAnsi="Verdana"/>
          <w:sz w:val="18"/>
          <w:szCs w:val="18"/>
        </w:rPr>
        <w:t xml:space="preserve">Računovodsko in finančno </w:t>
      </w:r>
      <w:proofErr w:type="spellStart"/>
      <w:r w:rsidRPr="00263D5C">
        <w:rPr>
          <w:rFonts w:ascii="Verdana" w:hAnsi="Verdana"/>
          <w:sz w:val="18"/>
          <w:szCs w:val="18"/>
        </w:rPr>
        <w:t>predračunavanje</w:t>
      </w:r>
      <w:proofErr w:type="spellEnd"/>
      <w:r w:rsidRPr="00263D5C">
        <w:rPr>
          <w:rFonts w:ascii="Verdana" w:hAnsi="Verdana"/>
          <w:sz w:val="18"/>
          <w:szCs w:val="18"/>
        </w:rPr>
        <w:t>, ki obliku</w:t>
      </w:r>
      <w:r>
        <w:rPr>
          <w:rFonts w:ascii="Verdana" w:hAnsi="Verdana"/>
          <w:sz w:val="18"/>
          <w:szCs w:val="18"/>
        </w:rPr>
        <w:t>je</w:t>
      </w:r>
      <w:r w:rsidRPr="00263D5C">
        <w:rPr>
          <w:rFonts w:ascii="Verdana" w:hAnsi="Verdana"/>
          <w:sz w:val="18"/>
          <w:szCs w:val="18"/>
        </w:rPr>
        <w:t xml:space="preserve"> ključne elemente plana 201</w:t>
      </w:r>
      <w:r>
        <w:rPr>
          <w:rFonts w:ascii="Verdana" w:hAnsi="Verdana"/>
          <w:sz w:val="18"/>
          <w:szCs w:val="18"/>
        </w:rPr>
        <w:t>6</w:t>
      </w:r>
      <w:r w:rsidRPr="00263D5C">
        <w:rPr>
          <w:rFonts w:ascii="Verdana" w:hAnsi="Verdana"/>
          <w:sz w:val="18"/>
          <w:szCs w:val="18"/>
        </w:rPr>
        <w:t xml:space="preserve"> - predstavljenega v nadaljevanju, je izvedeno z upoštevanjem osnovnih kakovostnih značilnosti poslovnih informacij: razumljivost, ustreznost, zanesljivost (previdnost) in primerljivost. Zapis v nadaljevanju je ocena bodočih pogojev poslovanja in njegove uspešnosti, ki temelji na trenutno razpoložljivem naboru zunanjih in notranjih informacij, zato ga je potrebno razumeti kot napoved, s katero je povezana logična in pričakovana stopnja negotovosti. </w:t>
      </w:r>
      <w:r w:rsidRPr="00BE0C25">
        <w:rPr>
          <w:rFonts w:ascii="Verdana" w:hAnsi="Verdana"/>
          <w:sz w:val="18"/>
          <w:szCs w:val="18"/>
        </w:rPr>
        <w:t>Pri sestavi smo upoštevali priporočila in usmeritve SRS in MRS.</w:t>
      </w:r>
    </w:p>
    <w:p w:rsidR="009B4428" w:rsidRPr="00BE0C25" w:rsidRDefault="009B4428" w:rsidP="009B4428">
      <w:pPr>
        <w:pStyle w:val="Telobesedila"/>
        <w:spacing w:line="288" w:lineRule="auto"/>
        <w:rPr>
          <w:rFonts w:ascii="Verdana" w:hAnsi="Verdana"/>
          <w:sz w:val="18"/>
          <w:szCs w:val="18"/>
        </w:rPr>
      </w:pPr>
    </w:p>
    <w:p w:rsidR="009B4428" w:rsidRDefault="009B4428" w:rsidP="009B4428">
      <w:pPr>
        <w:spacing w:line="288" w:lineRule="auto"/>
        <w:rPr>
          <w:sz w:val="18"/>
          <w:szCs w:val="18"/>
        </w:rPr>
      </w:pPr>
      <w:r>
        <w:rPr>
          <w:sz w:val="18"/>
          <w:szCs w:val="18"/>
        </w:rPr>
        <w:t xml:space="preserve">Poslovno leto 2015 je zaznamovano z vztrajnim drsenjem povprečnih prodajnih cen naših nosilnih izdelkov. Kljub temu, da smo vztrajno vršili pritisk na znižanje vhodnih cen, nam visokih marž iz leta 2014 ni uspelo zadržati. Tak razvoj dogodkov smo predvideli in tudi vgradili v poslovni načrt 2015 ter napovedali nižji a še vedno visok načrt čistega dobička v višini 8,3 milijonov evrov. Devet mesečno poslovanje, napovedi in projekcije do konca leta kažejo, da se bomo načrtu čistega dobička izrazito približali, zelo verjetno pa ga ne bomo v celoti dosegli zaradi izrazitega poslabšanja tržnih razmer v zadnji četrtini leta. Dobičkonosnost podjetja je bila v prvi polovici leta 2015 visoka, v drugi polovici leta pa je prišlo do poslabšanja predvsem zaradi erozije prodajnih cen. V drugi polovici leta so vladali pogoji tržnih presežkov, kar je potisnilo prodajne cene pigmenta dodatno navzdol, medtem ko je bilo zniževanje nabavnih cen surovin objektivno dušeno z njihovimi neposrednimi proizvodnimi stroški. Povsem logično smo s tem zelo blizu najnižjega dela krivulje poslovnega cikla, kar pomeni da je donosnost nizka, četudi sodeč po aktualnih panožnih primerjavah, v samem vrhu panoge titanovega dioksida. </w:t>
      </w:r>
    </w:p>
    <w:p w:rsidR="009B4428" w:rsidRDefault="009B4428" w:rsidP="009B4428">
      <w:pPr>
        <w:spacing w:line="288" w:lineRule="auto"/>
        <w:rPr>
          <w:sz w:val="18"/>
          <w:szCs w:val="18"/>
        </w:rPr>
      </w:pPr>
      <w:r>
        <w:rPr>
          <w:sz w:val="18"/>
          <w:szCs w:val="18"/>
        </w:rPr>
        <w:t xml:space="preserve">Zgoraj navedene razmere, značilne za ključne trge v zadnji četrtini leta, so tudi osnova in izhodišče poslovnega načrta 2016. Skladno z napovedmi razvoja mednarodnega trga pigmenta menimo, da se razmere na trgu kratkoročno ne bodo spremenile. Pričakujemo vsaj enoletno obdobje izjemno težkih razmer v industriji, znotraj katerega bo vladalo trenutno izrazito neugodno relativno razmerje med prodajnimi in nabavnimi cenami ter z njim nizke stopnje donosnosti. Pri primerjavi donosnosti podjetij iz verige vrednosti titanovega dioksida se ponovno potrjuje dejstvo, da je donosnost poslovanja padla predvsem proizvajalcem titanonosnih surovin in pigmenta, donosnost proizvajalcev barv, lakov in plastike pa ostaja dolgoročno nespremenjena, to je izrazito visoka. Neposredna posledica je prenizek obseg investiranja v nova nahajališča težkih mineralov in proizvodnjo pigmenta, zato je zelo verjetno, da bo srednjeročno ponovno prišlo do tržnih primanjkljajev. </w:t>
      </w:r>
    </w:p>
    <w:p w:rsidR="009B4428" w:rsidRDefault="009B4428" w:rsidP="009B4428">
      <w:pPr>
        <w:spacing w:line="288" w:lineRule="auto"/>
        <w:rPr>
          <w:sz w:val="18"/>
          <w:szCs w:val="18"/>
        </w:rPr>
      </w:pPr>
      <w:r>
        <w:rPr>
          <w:sz w:val="18"/>
          <w:szCs w:val="18"/>
        </w:rPr>
        <w:t>Bistvo doseganja načrta uspešnosti ob objektivno bistveno znižanih maržah je vnovično povečanje obsega poslovanja in s tem povezano izkoriščanje poslovnega vzvoda, izkoriščajoč degresijo fiksnih stroškov na prodano enoto izdelka.</w:t>
      </w:r>
    </w:p>
    <w:p w:rsidR="009B4428" w:rsidRPr="00BE0C25" w:rsidRDefault="009B4428" w:rsidP="009B4428">
      <w:pPr>
        <w:spacing w:line="288" w:lineRule="auto"/>
        <w:rPr>
          <w:sz w:val="18"/>
          <w:szCs w:val="18"/>
        </w:rPr>
      </w:pPr>
      <w:r>
        <w:rPr>
          <w:sz w:val="18"/>
          <w:szCs w:val="18"/>
        </w:rPr>
        <w:t>Upoštevajoč trenutne tržne razmere, predvidevanja glede razmer v panogi titanovega dioksida  in projekcije glede stabilizacije makroekonomskih pogojev v svetovnem gospodarstvu, smo zastavili načrt 2016, ki je gotovo realistično ambiciozen in pozitiven. Nosilni poudarki v načrt vgrajene poslovne politike so naslednji:</w:t>
      </w:r>
    </w:p>
    <w:p w:rsidR="009B4428" w:rsidRPr="00BE0C25" w:rsidRDefault="009B4428" w:rsidP="009B4428">
      <w:pPr>
        <w:spacing w:line="288" w:lineRule="auto"/>
        <w:rPr>
          <w:sz w:val="18"/>
          <w:szCs w:val="18"/>
        </w:rPr>
      </w:pPr>
    </w:p>
    <w:p w:rsidR="009B4428" w:rsidRDefault="009B4428" w:rsidP="009B4428">
      <w:pPr>
        <w:numPr>
          <w:ilvl w:val="0"/>
          <w:numId w:val="3"/>
        </w:numPr>
        <w:tabs>
          <w:tab w:val="clear" w:pos="720"/>
          <w:tab w:val="num" w:pos="360"/>
        </w:tabs>
        <w:spacing w:line="288" w:lineRule="auto"/>
        <w:ind w:left="360"/>
        <w:rPr>
          <w:sz w:val="18"/>
          <w:szCs w:val="18"/>
        </w:rPr>
      </w:pPr>
      <w:r>
        <w:rPr>
          <w:sz w:val="18"/>
          <w:szCs w:val="18"/>
        </w:rPr>
        <w:t xml:space="preserve">Nizke prodajne marže, ob sorazmerno stabilnih makroekonomskih pogojih, narekujejo osredotočanje na količinski plasma izdelkov. Četudi je povpraševanje v panogi sorazmerno šibko, izrazito priložnost v smeri povečevanja tržnih deležev prinaša proces kapitalske koncentracije in konsolidacije v panogi pigmenta titanovega dioksida. Prodajna strategija bo posledično  usmerjena v boj za prodane količine in s tem za tržne deleže na najdonosnejših trgih. Pomemben del uspešne implementacije je razvoj novih tipov pigmenta za industrijo plastike (že razviti) in tipov za papirne laminate. Podobna politika bo značilna tudi za druga dva nosilna izdelka: </w:t>
      </w:r>
      <w:proofErr w:type="spellStart"/>
      <w:r>
        <w:rPr>
          <w:sz w:val="18"/>
          <w:szCs w:val="18"/>
        </w:rPr>
        <w:t>titancinkovo</w:t>
      </w:r>
      <w:proofErr w:type="spellEnd"/>
      <w:r>
        <w:rPr>
          <w:sz w:val="18"/>
          <w:szCs w:val="18"/>
        </w:rPr>
        <w:t xml:space="preserve"> pločevino in </w:t>
      </w:r>
      <w:r>
        <w:rPr>
          <w:sz w:val="18"/>
          <w:szCs w:val="18"/>
        </w:rPr>
        <w:lastRenderedPageBreak/>
        <w:t xml:space="preserve">bakrove fungicide, kjer bomo z novo razvitimi izdelki povečevali tržne deleže na obstoječih trgih, hkrati pa razvijali in vstopali na nove trge. </w:t>
      </w:r>
    </w:p>
    <w:p w:rsidR="009B4428" w:rsidRDefault="009B4428" w:rsidP="009B4428">
      <w:pPr>
        <w:numPr>
          <w:ilvl w:val="0"/>
          <w:numId w:val="3"/>
        </w:numPr>
        <w:tabs>
          <w:tab w:val="clear" w:pos="720"/>
          <w:tab w:val="num" w:pos="360"/>
        </w:tabs>
        <w:spacing w:line="288" w:lineRule="auto"/>
        <w:ind w:left="360"/>
        <w:rPr>
          <w:sz w:val="18"/>
          <w:szCs w:val="18"/>
        </w:rPr>
      </w:pPr>
      <w:r>
        <w:rPr>
          <w:sz w:val="18"/>
          <w:szCs w:val="18"/>
        </w:rPr>
        <w:t xml:space="preserve">Glede na objektivno danost povprečnih prodajnih tržnih cen, bomo na področju nabave ključnih surovin kontinuirano razvijali rešitve, ki bodo z vidika stroškov optimalne. Govorimo tako o uporabi optimalnega surovinskega </w:t>
      </w:r>
      <w:proofErr w:type="spellStart"/>
      <w:r>
        <w:rPr>
          <w:sz w:val="18"/>
          <w:szCs w:val="18"/>
        </w:rPr>
        <w:t>miksa</w:t>
      </w:r>
      <w:proofErr w:type="spellEnd"/>
      <w:r>
        <w:rPr>
          <w:sz w:val="18"/>
          <w:szCs w:val="18"/>
        </w:rPr>
        <w:t>, kot o razvijanju sodelovanja z obstoječimi dobavitelji in razvoju novih virov ter poti, s tem bomo iz nabavnih trgov izželi objektivni maksimum – predvsem na področju nabavnih cen. V letu 2016 bo nabavni trg predvidevamo zelo dobro oskrbljen, posledično so na trgu še vedno neizkoriščeni potenciali.</w:t>
      </w:r>
    </w:p>
    <w:p w:rsidR="009B4428" w:rsidRDefault="009B4428" w:rsidP="009B4428">
      <w:pPr>
        <w:numPr>
          <w:ilvl w:val="0"/>
          <w:numId w:val="3"/>
        </w:numPr>
        <w:tabs>
          <w:tab w:val="clear" w:pos="720"/>
          <w:tab w:val="num" w:pos="360"/>
        </w:tabs>
        <w:spacing w:line="288" w:lineRule="auto"/>
        <w:ind w:left="360"/>
        <w:rPr>
          <w:sz w:val="18"/>
          <w:szCs w:val="18"/>
        </w:rPr>
      </w:pPr>
      <w:r>
        <w:rPr>
          <w:sz w:val="18"/>
          <w:szCs w:val="18"/>
        </w:rPr>
        <w:t xml:space="preserve">Osredotočenost na denarni položaj, zanesljivost financiranja: v času nizke konjunkture, tržnih presežkov in nezanemarljivih varnostno / političnih tveganj, je fokus na denarju in njegovem obratu kritičen. V naslednjem letu načrtujemo pomembne investicije na področju okoljske </w:t>
      </w:r>
      <w:proofErr w:type="spellStart"/>
      <w:r>
        <w:rPr>
          <w:sz w:val="18"/>
          <w:szCs w:val="18"/>
        </w:rPr>
        <w:t>remediacije</w:t>
      </w:r>
      <w:proofErr w:type="spellEnd"/>
      <w:r>
        <w:rPr>
          <w:sz w:val="18"/>
          <w:szCs w:val="18"/>
        </w:rPr>
        <w:t xml:space="preserve">, stabilizacije in modernizacije proizvodnje titanovega dioksida in energetske oskrbe, hkrati s tem pa bo potrebno tudi bistveno povečati obseg obratnih sredstev. Načrt 2016 že zajema 2 milijona evrov usmerjenih v sanacijo odlagališča nenevarnih odpadkov Bukovžlak, saj smo z Občino Celje našli konsenz in s tem so zunanji pogoji za pričetek del tako rekoč izpolnjeni. </w:t>
      </w:r>
    </w:p>
    <w:p w:rsidR="009B4428" w:rsidRPr="00BE0C25" w:rsidRDefault="009B4428" w:rsidP="009B4428">
      <w:pPr>
        <w:numPr>
          <w:ilvl w:val="0"/>
          <w:numId w:val="3"/>
        </w:numPr>
        <w:tabs>
          <w:tab w:val="clear" w:pos="720"/>
          <w:tab w:val="num" w:pos="360"/>
        </w:tabs>
        <w:spacing w:line="288" w:lineRule="auto"/>
        <w:ind w:left="360"/>
        <w:rPr>
          <w:sz w:val="18"/>
          <w:szCs w:val="18"/>
        </w:rPr>
      </w:pPr>
      <w:r>
        <w:rPr>
          <w:sz w:val="18"/>
          <w:szCs w:val="18"/>
        </w:rPr>
        <w:t xml:space="preserve">Poseben poudarek v letu 2016 namenjamo dokončnemu zaprtju in likvidaciji PE Grafika. Glavni izzivi so prezaposlitev zaposlenih na produktivna delovna mesta znotraj podjetja, </w:t>
      </w:r>
      <w:proofErr w:type="spellStart"/>
      <w:r>
        <w:rPr>
          <w:sz w:val="18"/>
          <w:szCs w:val="18"/>
        </w:rPr>
        <w:t>dezinvestiranje</w:t>
      </w:r>
      <w:proofErr w:type="spellEnd"/>
      <w:r>
        <w:rPr>
          <w:sz w:val="18"/>
          <w:szCs w:val="18"/>
        </w:rPr>
        <w:t xml:space="preserve"> obratnih sredstev in koristna uporaba stalnih sredstev (infrastrukture, zgradb in opreme).</w:t>
      </w:r>
    </w:p>
    <w:p w:rsidR="009B4428" w:rsidRPr="00BE0C25" w:rsidRDefault="009B4428" w:rsidP="009B4428">
      <w:pPr>
        <w:spacing w:line="288" w:lineRule="auto"/>
        <w:rPr>
          <w:sz w:val="18"/>
          <w:szCs w:val="18"/>
        </w:rPr>
      </w:pPr>
    </w:p>
    <w:p w:rsidR="009B4428" w:rsidRDefault="005D277E" w:rsidP="009B4428">
      <w:pPr>
        <w:spacing w:line="288" w:lineRule="auto"/>
        <w:rPr>
          <w:sz w:val="18"/>
          <w:szCs w:val="18"/>
        </w:rPr>
      </w:pPr>
      <w:r>
        <w:rPr>
          <w:sz w:val="18"/>
          <w:szCs w:val="18"/>
        </w:rPr>
        <w:t>Ocenjujemo, da bomo v 2015 dosegli</w:t>
      </w:r>
      <w:r w:rsidR="009B4428">
        <w:rPr>
          <w:sz w:val="18"/>
          <w:szCs w:val="18"/>
        </w:rPr>
        <w:t xml:space="preserve"> </w:t>
      </w:r>
      <w:r>
        <w:rPr>
          <w:sz w:val="18"/>
          <w:szCs w:val="18"/>
        </w:rPr>
        <w:t>solidne poslovne rezultate, p</w:t>
      </w:r>
      <w:r w:rsidR="009B4428">
        <w:rPr>
          <w:sz w:val="18"/>
          <w:szCs w:val="18"/>
        </w:rPr>
        <w:t>osebno upoštevajoč izrazito slabo poslovanje drugih proizvajalcev pigmenta v letu 2015 in slabe panožne napovedi za leto 2016. Žal to tudi pomeni, da bo poslovna uspešnost odraz nizkih marž v drugi polovici leta 2015 in da se bo poslovna uspešnost podjetja v letu 2016 v primerjavi z letom poprej občutno znižala.</w:t>
      </w:r>
    </w:p>
    <w:p w:rsidR="009B4428" w:rsidRPr="00BE0C25" w:rsidRDefault="009B4428" w:rsidP="009B4428">
      <w:pPr>
        <w:spacing w:line="288" w:lineRule="auto"/>
        <w:rPr>
          <w:sz w:val="18"/>
          <w:szCs w:val="18"/>
        </w:rPr>
      </w:pPr>
      <w:r>
        <w:rPr>
          <w:sz w:val="18"/>
          <w:szCs w:val="18"/>
        </w:rPr>
        <w:t xml:space="preserve">Na strani optimizma in pozitivnih pričakovanj je potrebno izpostaviti sorazmerno dobre ali vsaj stabilne napovedi glede globalne gospodarske aktivnosti. Kljub občutnim tveganjem na področju varnosti in politične stabilnosti v svetu, so makroekonomske napovedi mednarodnih in domačih institucij (UMAR, </w:t>
      </w:r>
      <w:proofErr w:type="spellStart"/>
      <w:r>
        <w:rPr>
          <w:sz w:val="18"/>
          <w:szCs w:val="18"/>
        </w:rPr>
        <w:t>Eurostat</w:t>
      </w:r>
      <w:proofErr w:type="spellEnd"/>
      <w:r>
        <w:rPr>
          <w:sz w:val="18"/>
          <w:szCs w:val="18"/>
        </w:rPr>
        <w:t xml:space="preserve">, Morgan Stanley, IMF…), sorazmerno ugodne. Gospodarska rast bo zadržala raven iz leta 2015, nezaposlenost se bo v povprečju znižala, finančni trgi se bodo stabilizirali, napovedana pa je celo rast investicijske potrošnje, (ki bi naj temeljila na prihrankih, poceni denarju in potrebi po zamenjavi strojev in opreme - zaradi že večkrat odloženih investicijskih ciklov). Zdi se, da so vsaj zaradi mednarodnih konfliktov, begunske krize in pa nejasnosti razvoja dogodkov v rastočih gospodarstvih (Kitajska, Turčija, Rusija…) te napovedi izrazito optimistične. Načrt Cinkarne Celje, d.d. za leto 2016 temelji tako na kombinaciji makro in </w:t>
      </w:r>
      <w:proofErr w:type="spellStart"/>
      <w:r>
        <w:rPr>
          <w:sz w:val="18"/>
          <w:szCs w:val="18"/>
        </w:rPr>
        <w:t>mikro</w:t>
      </w:r>
      <w:proofErr w:type="spellEnd"/>
      <w:r>
        <w:rPr>
          <w:sz w:val="18"/>
          <w:szCs w:val="18"/>
        </w:rPr>
        <w:t xml:space="preserve"> predpostavk - najpomembnejše konkretne </w:t>
      </w:r>
      <w:proofErr w:type="spellStart"/>
      <w:r>
        <w:rPr>
          <w:sz w:val="18"/>
          <w:szCs w:val="18"/>
        </w:rPr>
        <w:t>določljivke</w:t>
      </w:r>
      <w:proofErr w:type="spellEnd"/>
      <w:r>
        <w:rPr>
          <w:sz w:val="18"/>
          <w:szCs w:val="18"/>
        </w:rPr>
        <w:t xml:space="preserve"> so: </w:t>
      </w:r>
    </w:p>
    <w:p w:rsidR="009B4428" w:rsidRPr="00BE0C25" w:rsidRDefault="009B4428" w:rsidP="009B4428">
      <w:pPr>
        <w:spacing w:line="288" w:lineRule="auto"/>
        <w:rPr>
          <w:sz w:val="18"/>
          <w:szCs w:val="18"/>
        </w:rPr>
      </w:pPr>
    </w:p>
    <w:p w:rsidR="009B4428" w:rsidRPr="00BE0C25" w:rsidRDefault="009B4428" w:rsidP="009B4428">
      <w:pPr>
        <w:numPr>
          <w:ilvl w:val="0"/>
          <w:numId w:val="3"/>
        </w:numPr>
        <w:tabs>
          <w:tab w:val="clear" w:pos="720"/>
          <w:tab w:val="num" w:pos="360"/>
        </w:tabs>
        <w:spacing w:line="288" w:lineRule="auto"/>
        <w:ind w:left="360"/>
        <w:rPr>
          <w:sz w:val="18"/>
          <w:szCs w:val="18"/>
        </w:rPr>
      </w:pPr>
      <w:r w:rsidRPr="00BE0C25">
        <w:rPr>
          <w:sz w:val="18"/>
          <w:szCs w:val="18"/>
        </w:rPr>
        <w:t>Referenčni te</w:t>
      </w:r>
      <w:r>
        <w:rPr>
          <w:sz w:val="18"/>
          <w:szCs w:val="18"/>
        </w:rPr>
        <w:t>čaj ameriškega dolarja znaša 1,1 $ za €, nespremenjene ključne in referenčne obrestne mere, cena za sod nafte na ravni 50 $.</w:t>
      </w:r>
    </w:p>
    <w:p w:rsidR="009B4428" w:rsidRDefault="009B4428" w:rsidP="009B4428">
      <w:pPr>
        <w:numPr>
          <w:ilvl w:val="0"/>
          <w:numId w:val="3"/>
        </w:numPr>
        <w:tabs>
          <w:tab w:val="clear" w:pos="720"/>
          <w:tab w:val="num" w:pos="360"/>
        </w:tabs>
        <w:spacing w:line="288" w:lineRule="auto"/>
        <w:ind w:left="360"/>
        <w:rPr>
          <w:sz w:val="18"/>
          <w:szCs w:val="18"/>
        </w:rPr>
      </w:pPr>
      <w:r>
        <w:rPr>
          <w:sz w:val="18"/>
          <w:szCs w:val="18"/>
        </w:rPr>
        <w:t>V letu 2016 bodo, skladno z aktualnimi pozitivnimi pričakovanji, stopnje gospodarske rasti ostale na ravneh iz leta 2015, konkretno so napovedi glede dinamike BDP ključnih gospodarstev sledeče (ocena 2015 &gt;&gt; napoved 2016): Svet 3,3 % &gt;&gt; 3,8 %, EU 1,9 % &gt;&gt; 2,0 %, Nemčija 1,9 % &gt;&gt; 2,0 %, Francija 1,2 % &gt;&gt; 1,6 %, Rusija -3,5 % &gt;&gt; 0,4 %, Kitajska 6,8 % &gt;&gt; 6,3 %, ZDA 2,6 % &gt;&gt; 2,8 % in Japonska 0,6 % &gt;&gt; 1,0 %.</w:t>
      </w:r>
    </w:p>
    <w:p w:rsidR="009B4428" w:rsidRPr="00BE0C25" w:rsidRDefault="009B4428" w:rsidP="009B4428">
      <w:pPr>
        <w:numPr>
          <w:ilvl w:val="0"/>
          <w:numId w:val="3"/>
        </w:numPr>
        <w:tabs>
          <w:tab w:val="clear" w:pos="720"/>
          <w:tab w:val="num" w:pos="360"/>
        </w:tabs>
        <w:spacing w:line="288" w:lineRule="auto"/>
        <w:ind w:left="360"/>
        <w:rPr>
          <w:sz w:val="18"/>
          <w:szCs w:val="18"/>
        </w:rPr>
      </w:pPr>
      <w:r>
        <w:rPr>
          <w:sz w:val="18"/>
          <w:szCs w:val="18"/>
        </w:rPr>
        <w:t xml:space="preserve">Politično / varnostne razmere v Evropi, na Bližnjem / Srednjem Vzhodu ter v Ukrajini se ne bodo dramatično spremenile oziroma poslabšale.  </w:t>
      </w:r>
    </w:p>
    <w:p w:rsidR="009B4428" w:rsidRDefault="009B4428" w:rsidP="009B4428">
      <w:pPr>
        <w:numPr>
          <w:ilvl w:val="0"/>
          <w:numId w:val="3"/>
        </w:numPr>
        <w:tabs>
          <w:tab w:val="clear" w:pos="720"/>
          <w:tab w:val="num" w:pos="360"/>
        </w:tabs>
        <w:spacing w:line="288" w:lineRule="auto"/>
        <w:ind w:left="360"/>
        <w:rPr>
          <w:sz w:val="18"/>
          <w:szCs w:val="18"/>
        </w:rPr>
      </w:pPr>
      <w:r w:rsidRPr="00BE0C25">
        <w:rPr>
          <w:sz w:val="18"/>
          <w:szCs w:val="18"/>
        </w:rPr>
        <w:t>Socialna kohezija</w:t>
      </w:r>
      <w:r>
        <w:rPr>
          <w:sz w:val="18"/>
          <w:szCs w:val="18"/>
        </w:rPr>
        <w:t xml:space="preserve">, splošna varnost / </w:t>
      </w:r>
      <w:r w:rsidRPr="00BE0C25">
        <w:rPr>
          <w:sz w:val="18"/>
          <w:szCs w:val="18"/>
        </w:rPr>
        <w:t>stabilnost</w:t>
      </w:r>
      <w:r>
        <w:rPr>
          <w:sz w:val="18"/>
          <w:szCs w:val="18"/>
        </w:rPr>
        <w:t xml:space="preserve"> in delovanje gospodarskega sistema v Sloveniji bodo ostale</w:t>
      </w:r>
      <w:r w:rsidRPr="00BE0C25">
        <w:rPr>
          <w:sz w:val="18"/>
          <w:szCs w:val="18"/>
        </w:rPr>
        <w:t xml:space="preserve"> znotraj </w:t>
      </w:r>
      <w:r>
        <w:rPr>
          <w:sz w:val="18"/>
          <w:szCs w:val="18"/>
        </w:rPr>
        <w:t xml:space="preserve">normativnih okvirov, ki </w:t>
      </w:r>
      <w:r w:rsidRPr="00BE0C25">
        <w:rPr>
          <w:sz w:val="18"/>
          <w:szCs w:val="18"/>
        </w:rPr>
        <w:t xml:space="preserve">zagotavljajo </w:t>
      </w:r>
      <w:r>
        <w:rPr>
          <w:sz w:val="18"/>
          <w:szCs w:val="18"/>
        </w:rPr>
        <w:t>nemoteno in neodvisno poslovanje gospodarskih subjektov.</w:t>
      </w:r>
      <w:r w:rsidRPr="00F066FD">
        <w:rPr>
          <w:sz w:val="18"/>
          <w:szCs w:val="18"/>
        </w:rPr>
        <w:t xml:space="preserve"> </w:t>
      </w:r>
    </w:p>
    <w:p w:rsidR="009B4428" w:rsidRPr="00BE0C25" w:rsidRDefault="009B4428" w:rsidP="009B4428">
      <w:pPr>
        <w:spacing w:line="288" w:lineRule="auto"/>
        <w:rPr>
          <w:sz w:val="18"/>
          <w:szCs w:val="18"/>
        </w:rPr>
      </w:pPr>
    </w:p>
    <w:p w:rsidR="009B4428" w:rsidRDefault="009B4428" w:rsidP="009B4428">
      <w:pPr>
        <w:spacing w:line="288" w:lineRule="auto"/>
        <w:rPr>
          <w:sz w:val="18"/>
          <w:szCs w:val="18"/>
        </w:rPr>
      </w:pPr>
      <w:r>
        <w:rPr>
          <w:sz w:val="18"/>
          <w:szCs w:val="18"/>
        </w:rPr>
        <w:lastRenderedPageBreak/>
        <w:t>V panogi nosilnega programa pigmenta titanovega dioksida smo v letu 2015 doživeli obdobje stagnirajočega povpraševanja, tržnih presežkov, visokih zalog in padanja povprečnih prodajnih cen. V primerjavi z letom poprej je položaj v panogi bistveno slabši. Razmere so se izrazito poslabšale v drugi polovici leta, po tem ko je bila prva polovica leta v smislu tržnih razmer celo nekoliko nad pričakovanji. Na mednarodnem trgu so negativno vplivali znižana poraba na Kitajskem, Ukrajinsko / Ruska kriza in z njo vdor (po novem ruskega pigmenta) na evropske trge in zaton tradicionalnih trgov, ki jih je z barvami oskrbovala Turčija (Irak, Sirija, Libanon…).Nezadostno povpraševanje in presežna ponudba sta povzročila rast zalog pigmentov pri proizvajalcih, ker se je seveda odrazilo na zniževanju prodajnih cen - predvsem v drugi polovici leta. Konkretno pa je na povpraševanje po pigmentu Cinkarne Celje, d.d. ugodno vplival proces kapitalske konsolidacije in koncentracije v industriji titanovega dioksida.</w:t>
      </w:r>
    </w:p>
    <w:p w:rsidR="009B4428" w:rsidRDefault="009B4428" w:rsidP="009B4428">
      <w:pPr>
        <w:spacing w:line="288" w:lineRule="auto"/>
        <w:rPr>
          <w:sz w:val="18"/>
          <w:szCs w:val="18"/>
        </w:rPr>
      </w:pPr>
      <w:r>
        <w:rPr>
          <w:sz w:val="18"/>
          <w:szCs w:val="18"/>
        </w:rPr>
        <w:t>Predhodno navedene okoliščine bodo v večji meri vztrajale tudi v letu 2016, zato in zaradi močnega dolarja, ki sprošča tržni prostor v EU, Magrebu in delno Bližnjem / Srednjem Vzhodu, smo prepričani da bomo v letu 2016 prodali rekordne količine pigmenta in s tem presegli rekorde dosežene v letu 2015. Pričakujemo torej, da bomo prodali 2 % več titanovega dioksida, po 2 % nižjih cenah. Proizvodnja bo vseskozi potekala na ravni maksimalnih zmogljivosti, kar pomeni 65.000 t gotovega izdelka letno. Višje ravni tečaja dolarja v zadnjih dveh letih pa pomenijo, da so se zdržema povečale nabavne cene titanonosnih surovin, škarje nabavno prodajnih cen so se zaprle, donosnost pa je padla.</w:t>
      </w:r>
    </w:p>
    <w:p w:rsidR="005D277E" w:rsidRDefault="005D277E" w:rsidP="009B4428">
      <w:pPr>
        <w:spacing w:line="288" w:lineRule="auto"/>
        <w:rPr>
          <w:sz w:val="18"/>
          <w:szCs w:val="18"/>
        </w:rPr>
      </w:pPr>
      <w:r>
        <w:rPr>
          <w:sz w:val="18"/>
          <w:szCs w:val="18"/>
        </w:rPr>
        <w:t xml:space="preserve">Poudarjamo, da so v plan vgrajene zelo realne ocene na področju nabavnih cen, hkrati pa so ocene prodajnih cen z vidika trenutnih razmer zelo optimistične. Ključni faktor in hkrati neznanka poslovne uspešnosti podjetja v letu 2016 je torej raven povprečnih prodajnih cen pigmenta titanovega dioksida.     </w:t>
      </w:r>
    </w:p>
    <w:p w:rsidR="009B4428" w:rsidRPr="00BE0C25" w:rsidRDefault="009B4428" w:rsidP="009B4428">
      <w:pPr>
        <w:spacing w:line="288" w:lineRule="auto"/>
        <w:rPr>
          <w:sz w:val="18"/>
          <w:szCs w:val="18"/>
        </w:rPr>
      </w:pPr>
    </w:p>
    <w:p w:rsidR="009B4428" w:rsidRDefault="009B4428" w:rsidP="009B4428">
      <w:pPr>
        <w:spacing w:line="288" w:lineRule="auto"/>
        <w:rPr>
          <w:sz w:val="18"/>
          <w:szCs w:val="18"/>
        </w:rPr>
      </w:pPr>
      <w:r>
        <w:rPr>
          <w:sz w:val="18"/>
          <w:szCs w:val="18"/>
        </w:rPr>
        <w:t>Pri prodaji</w:t>
      </w:r>
      <w:r w:rsidRPr="00BE0C25">
        <w:rPr>
          <w:sz w:val="18"/>
          <w:szCs w:val="18"/>
        </w:rPr>
        <w:t xml:space="preserve"> titanc</w:t>
      </w:r>
      <w:r>
        <w:rPr>
          <w:sz w:val="18"/>
          <w:szCs w:val="18"/>
        </w:rPr>
        <w:t xml:space="preserve">inkove pločevine in drugih cinkovih izdelkov se je poslovanje v letu 2015, zaradi izvedbe vrste usmerjenih ukrepov na področju zniževanja stroškov, prodora na nove trge, razvoja novih izdelkov in izboljšanja prodajne strukture, v smislu količinskih kazalnikov in operativnih rezultatov izboljšalo. Žal pa je izrazito negativno vplival zlom borznih cen cinka, do katerega je prišlo v tretji četrtini leta. V letu 2016 načrtujemo vnovično povečanje obsega prodaje titancinkove pločevine in drugih cinkovih izdelkov, kar pa žal zaradi nadaljevanja drsenja borznih cen cinka ne bo zadostovalo za izboljšanje poslovne uspešnosti metalurškega programa. </w:t>
      </w:r>
    </w:p>
    <w:p w:rsidR="009B4428" w:rsidRPr="00BE0C25" w:rsidRDefault="009B4428" w:rsidP="009B4428">
      <w:pPr>
        <w:spacing w:line="288" w:lineRule="auto"/>
        <w:rPr>
          <w:sz w:val="18"/>
          <w:szCs w:val="18"/>
        </w:rPr>
      </w:pPr>
    </w:p>
    <w:p w:rsidR="009B4428" w:rsidRPr="00BE0C25" w:rsidRDefault="009B4428" w:rsidP="009B4428">
      <w:pPr>
        <w:spacing w:line="288" w:lineRule="auto"/>
        <w:rPr>
          <w:sz w:val="18"/>
          <w:szCs w:val="18"/>
        </w:rPr>
      </w:pPr>
      <w:r w:rsidRPr="00BE0C25">
        <w:rPr>
          <w:sz w:val="18"/>
          <w:szCs w:val="18"/>
        </w:rPr>
        <w:t>Gl</w:t>
      </w:r>
      <w:r>
        <w:rPr>
          <w:sz w:val="18"/>
          <w:szCs w:val="18"/>
        </w:rPr>
        <w:t xml:space="preserve">ede poslovanja drugih programov smo načrtovali realistično in sorazmerno previdno. Napredek pričakujemo pri prodaji tretjega nosilnega programa - bakrovih fungicidov, praškastih lakov, </w:t>
      </w:r>
      <w:proofErr w:type="spellStart"/>
      <w:r>
        <w:rPr>
          <w:sz w:val="18"/>
          <w:szCs w:val="18"/>
        </w:rPr>
        <w:t>masterbatchev</w:t>
      </w:r>
      <w:proofErr w:type="spellEnd"/>
      <w:r>
        <w:rPr>
          <w:sz w:val="18"/>
          <w:szCs w:val="18"/>
        </w:rPr>
        <w:t xml:space="preserve"> in gradbenih materialov. Poslovna uspešnost omenjenih programov in izdelčnih skupin pa se bo z izjemo programa bakrovih fungicidov, zaradi znižanja povprečnih prodajnih cen nekoliko znižala. Načrt prodaje elastomerov, termoplastov in STEM sistemov enote Polimeri, ki je vezana na obseg regionalne investicijske aktivnosti v petrokemijskem sektorju, je skladno s pričakovanim obsegom investicijske aktivnosti v regiji nekoliko nižji. Na področju prodajnega programa grafičnih repromaterialov, ki ga s koncem leta 2015 zapiramo, pa smo previdno vračunali najslabši možni scenarij (nič prodaje, polni fiksni stroški, nekaj prevrednotenj sredstev).   </w:t>
      </w:r>
    </w:p>
    <w:p w:rsidR="009B4428" w:rsidRPr="00BE0C25" w:rsidRDefault="009B4428" w:rsidP="009B4428">
      <w:pPr>
        <w:spacing w:line="288" w:lineRule="auto"/>
        <w:rPr>
          <w:sz w:val="18"/>
          <w:szCs w:val="18"/>
        </w:rPr>
      </w:pPr>
    </w:p>
    <w:p w:rsidR="009B4428" w:rsidRPr="00BE0C25" w:rsidRDefault="009B4428" w:rsidP="009B4428">
      <w:pPr>
        <w:pStyle w:val="Telobesedila"/>
        <w:spacing w:line="288" w:lineRule="auto"/>
        <w:rPr>
          <w:rFonts w:ascii="Verdana" w:hAnsi="Verdana"/>
          <w:sz w:val="18"/>
          <w:szCs w:val="18"/>
        </w:rPr>
      </w:pPr>
      <w:r w:rsidRPr="00BE0C25">
        <w:rPr>
          <w:rFonts w:ascii="Verdana" w:hAnsi="Verdana"/>
          <w:sz w:val="18"/>
          <w:szCs w:val="18"/>
        </w:rPr>
        <w:t>V letu 201</w:t>
      </w:r>
      <w:r>
        <w:rPr>
          <w:rFonts w:ascii="Verdana" w:hAnsi="Verdana"/>
          <w:sz w:val="18"/>
          <w:szCs w:val="18"/>
        </w:rPr>
        <w:t>6</w:t>
      </w:r>
      <w:r w:rsidRPr="00BE0C25">
        <w:rPr>
          <w:rFonts w:ascii="Verdana" w:hAnsi="Verdana"/>
          <w:sz w:val="18"/>
          <w:szCs w:val="18"/>
        </w:rPr>
        <w:t xml:space="preserve"> bomo skladno s pričakovanji dosegli </w:t>
      </w:r>
      <w:r>
        <w:rPr>
          <w:rFonts w:ascii="Verdana" w:hAnsi="Verdana"/>
          <w:b/>
          <w:iCs/>
          <w:sz w:val="18"/>
          <w:szCs w:val="18"/>
        </w:rPr>
        <w:t>162,4</w:t>
      </w:r>
      <w:r w:rsidRPr="00BE0C25">
        <w:rPr>
          <w:rFonts w:ascii="Verdana" w:hAnsi="Verdana"/>
          <w:b/>
          <w:iCs/>
          <w:sz w:val="18"/>
          <w:szCs w:val="18"/>
        </w:rPr>
        <w:t xml:space="preserve"> milijonov € prihodkov od prodaje</w:t>
      </w:r>
      <w:r>
        <w:rPr>
          <w:rFonts w:ascii="Verdana" w:hAnsi="Verdana"/>
          <w:sz w:val="18"/>
          <w:szCs w:val="18"/>
        </w:rPr>
        <w:t>, kar je gotovo</w:t>
      </w:r>
      <w:r w:rsidRPr="00BE0C25">
        <w:rPr>
          <w:rFonts w:ascii="Verdana" w:hAnsi="Verdana"/>
          <w:sz w:val="18"/>
          <w:szCs w:val="18"/>
        </w:rPr>
        <w:t xml:space="preserve"> </w:t>
      </w:r>
      <w:r>
        <w:rPr>
          <w:rFonts w:ascii="Verdana" w:hAnsi="Verdana"/>
          <w:sz w:val="18"/>
          <w:szCs w:val="18"/>
        </w:rPr>
        <w:t>optimističen plan prodaje. Prodajni načrt za leto 2016</w:t>
      </w:r>
      <w:r w:rsidRPr="00BE0C25">
        <w:rPr>
          <w:rFonts w:ascii="Verdana" w:hAnsi="Verdana"/>
          <w:sz w:val="18"/>
          <w:szCs w:val="18"/>
        </w:rPr>
        <w:t xml:space="preserve"> </w:t>
      </w:r>
      <w:r>
        <w:rPr>
          <w:rFonts w:ascii="Verdana" w:hAnsi="Verdana"/>
          <w:sz w:val="18"/>
          <w:szCs w:val="18"/>
        </w:rPr>
        <w:t xml:space="preserve">zaostaja za prodajo, ki bo dosežena v letu 2015, za 1 %. </w:t>
      </w:r>
    </w:p>
    <w:p w:rsidR="009B4428" w:rsidRPr="00BE0C25" w:rsidRDefault="009B4428" w:rsidP="009B4428">
      <w:pPr>
        <w:pStyle w:val="Telobesedila"/>
        <w:spacing w:line="288" w:lineRule="auto"/>
        <w:rPr>
          <w:rFonts w:ascii="Verdana" w:hAnsi="Verdana"/>
          <w:sz w:val="18"/>
          <w:szCs w:val="18"/>
        </w:rPr>
      </w:pPr>
    </w:p>
    <w:p w:rsidR="009B4428" w:rsidRDefault="009B4428" w:rsidP="009B4428">
      <w:pPr>
        <w:pStyle w:val="Telobesedila"/>
        <w:spacing w:line="288" w:lineRule="auto"/>
        <w:rPr>
          <w:rFonts w:ascii="Verdana" w:hAnsi="Verdana"/>
          <w:sz w:val="18"/>
          <w:szCs w:val="18"/>
        </w:rPr>
      </w:pPr>
      <w:r w:rsidRPr="00BE0C25">
        <w:rPr>
          <w:rFonts w:ascii="Verdana" w:hAnsi="Verdana"/>
          <w:b/>
          <w:iCs/>
          <w:sz w:val="18"/>
          <w:szCs w:val="18"/>
        </w:rPr>
        <w:t>Prodaja na tujih trgih</w:t>
      </w:r>
      <w:r>
        <w:rPr>
          <w:rFonts w:ascii="Verdana" w:hAnsi="Verdana"/>
          <w:sz w:val="18"/>
          <w:szCs w:val="18"/>
        </w:rPr>
        <w:t xml:space="preserve"> bo v letu 2016</w:t>
      </w:r>
      <w:r w:rsidRPr="00BE0C25">
        <w:rPr>
          <w:rFonts w:ascii="Verdana" w:hAnsi="Verdana"/>
          <w:sz w:val="18"/>
          <w:szCs w:val="18"/>
        </w:rPr>
        <w:t xml:space="preserve"> dosegla višino </w:t>
      </w:r>
      <w:r>
        <w:rPr>
          <w:rFonts w:ascii="Verdana" w:hAnsi="Verdana"/>
          <w:b/>
          <w:sz w:val="18"/>
          <w:szCs w:val="18"/>
        </w:rPr>
        <w:t>141,4</w:t>
      </w:r>
      <w:r w:rsidRPr="00BE0C25">
        <w:rPr>
          <w:rFonts w:ascii="Verdana" w:hAnsi="Verdana"/>
          <w:b/>
          <w:sz w:val="18"/>
          <w:szCs w:val="18"/>
        </w:rPr>
        <w:t xml:space="preserve"> milijonov €</w:t>
      </w:r>
      <w:r w:rsidRPr="00BE0C25">
        <w:rPr>
          <w:rFonts w:ascii="Verdana" w:hAnsi="Verdana"/>
          <w:sz w:val="18"/>
          <w:szCs w:val="18"/>
        </w:rPr>
        <w:t>, ta vrednost</w:t>
      </w:r>
      <w:r>
        <w:rPr>
          <w:rFonts w:ascii="Verdana" w:hAnsi="Verdana"/>
          <w:sz w:val="18"/>
          <w:szCs w:val="18"/>
        </w:rPr>
        <w:t xml:space="preserve"> je na ravni izvoza</w:t>
      </w:r>
      <w:r w:rsidRPr="00BE0C25">
        <w:rPr>
          <w:rFonts w:ascii="Verdana" w:hAnsi="Verdana"/>
          <w:sz w:val="18"/>
          <w:szCs w:val="18"/>
        </w:rPr>
        <w:t xml:space="preserve"> dosežen</w:t>
      </w:r>
      <w:r>
        <w:rPr>
          <w:rFonts w:ascii="Verdana" w:hAnsi="Verdana"/>
          <w:sz w:val="18"/>
          <w:szCs w:val="18"/>
        </w:rPr>
        <w:t>ega v letu 2015</w:t>
      </w:r>
      <w:r w:rsidRPr="00BE0C25">
        <w:rPr>
          <w:rFonts w:ascii="Verdana" w:hAnsi="Verdana"/>
          <w:sz w:val="18"/>
          <w:szCs w:val="18"/>
        </w:rPr>
        <w:t>.</w:t>
      </w:r>
    </w:p>
    <w:p w:rsidR="009B4428" w:rsidRDefault="009B4428" w:rsidP="009B4428">
      <w:pPr>
        <w:pStyle w:val="Telobesedila"/>
        <w:spacing w:line="288" w:lineRule="auto"/>
        <w:rPr>
          <w:rFonts w:ascii="Verdana" w:hAnsi="Verdana"/>
          <w:sz w:val="18"/>
          <w:szCs w:val="18"/>
        </w:rPr>
      </w:pPr>
      <w:r w:rsidRPr="00BE0C25">
        <w:rPr>
          <w:rFonts w:ascii="Verdana" w:hAnsi="Verdana"/>
          <w:sz w:val="18"/>
          <w:szCs w:val="18"/>
        </w:rPr>
        <w:t xml:space="preserve">Načrtovani </w:t>
      </w:r>
      <w:r w:rsidRPr="00BE0C25">
        <w:rPr>
          <w:rFonts w:ascii="Verdana" w:hAnsi="Verdana"/>
          <w:b/>
          <w:iCs/>
          <w:sz w:val="18"/>
          <w:szCs w:val="18"/>
        </w:rPr>
        <w:t>čisti poslovni izid</w:t>
      </w:r>
      <w:r>
        <w:rPr>
          <w:rFonts w:ascii="Verdana" w:hAnsi="Verdana"/>
          <w:sz w:val="18"/>
          <w:szCs w:val="18"/>
        </w:rPr>
        <w:t xml:space="preserve"> za leto 2016</w:t>
      </w:r>
      <w:r w:rsidRPr="00BE0C25">
        <w:rPr>
          <w:rFonts w:ascii="Verdana" w:hAnsi="Verdana"/>
          <w:sz w:val="18"/>
          <w:szCs w:val="18"/>
        </w:rPr>
        <w:t xml:space="preserve"> znaša </w:t>
      </w:r>
      <w:r>
        <w:rPr>
          <w:rFonts w:ascii="Verdana" w:hAnsi="Verdana"/>
          <w:b/>
          <w:iCs/>
          <w:sz w:val="18"/>
          <w:szCs w:val="18"/>
        </w:rPr>
        <w:t>3,9</w:t>
      </w:r>
      <w:r w:rsidRPr="00BE0C25">
        <w:rPr>
          <w:rFonts w:ascii="Verdana" w:hAnsi="Verdana"/>
          <w:b/>
          <w:iCs/>
          <w:sz w:val="18"/>
          <w:szCs w:val="18"/>
        </w:rPr>
        <w:t xml:space="preserve"> milijon</w:t>
      </w:r>
      <w:r>
        <w:rPr>
          <w:rFonts w:ascii="Verdana" w:hAnsi="Verdana"/>
          <w:b/>
          <w:iCs/>
          <w:sz w:val="18"/>
          <w:szCs w:val="18"/>
        </w:rPr>
        <w:t>ov</w:t>
      </w:r>
      <w:r w:rsidRPr="00BE0C25">
        <w:rPr>
          <w:rFonts w:ascii="Verdana" w:hAnsi="Verdana"/>
          <w:b/>
          <w:iCs/>
          <w:sz w:val="18"/>
          <w:szCs w:val="18"/>
        </w:rPr>
        <w:t xml:space="preserve"> €</w:t>
      </w:r>
      <w:r>
        <w:rPr>
          <w:rFonts w:ascii="Verdana" w:hAnsi="Verdana"/>
          <w:b/>
          <w:iCs/>
          <w:sz w:val="18"/>
          <w:szCs w:val="18"/>
        </w:rPr>
        <w:t xml:space="preserve"> čistega dobička.</w:t>
      </w:r>
      <w:r w:rsidRPr="00BE0C25">
        <w:rPr>
          <w:rFonts w:ascii="Verdana" w:hAnsi="Verdana"/>
          <w:b/>
          <w:color w:val="008000"/>
          <w:sz w:val="18"/>
          <w:szCs w:val="18"/>
        </w:rPr>
        <w:t xml:space="preserve"> </w:t>
      </w:r>
      <w:r w:rsidRPr="00BE0C25">
        <w:rPr>
          <w:rFonts w:ascii="Verdana" w:hAnsi="Verdana"/>
          <w:sz w:val="18"/>
          <w:szCs w:val="18"/>
        </w:rPr>
        <w:t>Pri čemer znaša aktualna oce</w:t>
      </w:r>
      <w:r>
        <w:rPr>
          <w:rFonts w:ascii="Verdana" w:hAnsi="Verdana"/>
          <w:sz w:val="18"/>
          <w:szCs w:val="18"/>
        </w:rPr>
        <w:t xml:space="preserve">na poslovnega izida za leto 2015 pričakovanih 7 milijonov € čistega dobička. Govorimo </w:t>
      </w:r>
      <w:r>
        <w:rPr>
          <w:rFonts w:ascii="Verdana" w:hAnsi="Verdana"/>
          <w:sz w:val="18"/>
          <w:szCs w:val="18"/>
        </w:rPr>
        <w:lastRenderedPageBreak/>
        <w:t xml:space="preserve">torej o znižanju čistega dobička za 44 %, kar je neposredna posledica vnovičnega padca marž oziroma zapiranja nabavno / prodajnih škarij. </w:t>
      </w:r>
    </w:p>
    <w:p w:rsidR="009B4428" w:rsidRPr="00BE0C25" w:rsidRDefault="009B4428" w:rsidP="009B4428">
      <w:pPr>
        <w:pStyle w:val="Telobesedila"/>
        <w:spacing w:line="288" w:lineRule="auto"/>
        <w:rPr>
          <w:rFonts w:ascii="Verdana" w:hAnsi="Verdana"/>
          <w:sz w:val="18"/>
          <w:szCs w:val="18"/>
        </w:rPr>
      </w:pPr>
    </w:p>
    <w:p w:rsidR="009B4428" w:rsidRPr="00BE0C25" w:rsidRDefault="009B4428" w:rsidP="009B4428">
      <w:pPr>
        <w:pStyle w:val="Telobesedila"/>
        <w:spacing w:line="288" w:lineRule="auto"/>
        <w:rPr>
          <w:rFonts w:ascii="Verdana" w:hAnsi="Verdana"/>
          <w:sz w:val="18"/>
          <w:szCs w:val="18"/>
        </w:rPr>
      </w:pPr>
      <w:r>
        <w:rPr>
          <w:rFonts w:ascii="Verdana" w:hAnsi="Verdana"/>
          <w:sz w:val="18"/>
          <w:szCs w:val="18"/>
        </w:rPr>
        <w:t>Investicijska dejavnost</w:t>
      </w:r>
      <w:r w:rsidRPr="00BE0C25">
        <w:rPr>
          <w:rFonts w:ascii="Verdana" w:hAnsi="Verdana"/>
          <w:sz w:val="18"/>
          <w:szCs w:val="18"/>
        </w:rPr>
        <w:t xml:space="preserve"> bo v letu 201</w:t>
      </w:r>
      <w:r>
        <w:rPr>
          <w:rFonts w:ascii="Verdana" w:hAnsi="Verdana"/>
          <w:sz w:val="18"/>
          <w:szCs w:val="18"/>
        </w:rPr>
        <w:t xml:space="preserve">6 usmerjena v zagotovitev stabilnosti in zanesljivosti proizvodnje pigmenta na maksimalni ravni določeni z okoljskim dovoljenjem, to je 65 </w:t>
      </w:r>
      <w:proofErr w:type="spellStart"/>
      <w:r>
        <w:rPr>
          <w:rFonts w:ascii="Verdana" w:hAnsi="Verdana"/>
          <w:sz w:val="18"/>
          <w:szCs w:val="18"/>
        </w:rPr>
        <w:t>kt</w:t>
      </w:r>
      <w:proofErr w:type="spellEnd"/>
      <w:r>
        <w:rPr>
          <w:rFonts w:ascii="Verdana" w:hAnsi="Verdana"/>
          <w:sz w:val="18"/>
          <w:szCs w:val="18"/>
        </w:rPr>
        <w:t xml:space="preserve"> letno. Investirali bomo tudi v projekte zagotavljanja nemotene energetske oskrbe in tiste namenjene varovanju okolja in zdravja zaposlenih. Poleg prej omenjenih investicij je potrebno izpostaviti še investicijo v razširitev proizvodnje </w:t>
      </w:r>
      <w:proofErr w:type="spellStart"/>
      <w:r>
        <w:rPr>
          <w:rFonts w:ascii="Verdana" w:hAnsi="Verdana"/>
          <w:sz w:val="18"/>
          <w:szCs w:val="18"/>
        </w:rPr>
        <w:t>masterbatchev</w:t>
      </w:r>
      <w:proofErr w:type="spellEnd"/>
      <w:r>
        <w:rPr>
          <w:rFonts w:ascii="Verdana" w:hAnsi="Verdana"/>
          <w:sz w:val="18"/>
          <w:szCs w:val="18"/>
        </w:rPr>
        <w:t xml:space="preserve">. </w:t>
      </w:r>
      <w:r w:rsidRPr="00BE0C25">
        <w:rPr>
          <w:rFonts w:ascii="Verdana" w:hAnsi="Verdana"/>
          <w:sz w:val="18"/>
          <w:szCs w:val="18"/>
        </w:rPr>
        <w:t>Načrtovani znesek investici</w:t>
      </w:r>
      <w:r>
        <w:rPr>
          <w:rFonts w:ascii="Verdana" w:hAnsi="Verdana"/>
          <w:sz w:val="18"/>
          <w:szCs w:val="18"/>
        </w:rPr>
        <w:t xml:space="preserve">j v dolgoročna sredstva je za 89 % višji </w:t>
      </w:r>
      <w:r w:rsidRPr="00BE0C25">
        <w:rPr>
          <w:rFonts w:ascii="Verdana" w:hAnsi="Verdana"/>
          <w:sz w:val="18"/>
          <w:szCs w:val="18"/>
        </w:rPr>
        <w:t>kot v</w:t>
      </w:r>
      <w:r>
        <w:rPr>
          <w:rFonts w:ascii="Verdana" w:hAnsi="Verdana"/>
          <w:sz w:val="18"/>
          <w:szCs w:val="18"/>
        </w:rPr>
        <w:t xml:space="preserve"> letu 2015</w:t>
      </w:r>
      <w:r w:rsidRPr="00BE0C25">
        <w:rPr>
          <w:rFonts w:ascii="Verdana" w:hAnsi="Verdana"/>
          <w:sz w:val="18"/>
          <w:szCs w:val="18"/>
        </w:rPr>
        <w:t xml:space="preserve"> in</w:t>
      </w:r>
      <w:r>
        <w:rPr>
          <w:rFonts w:ascii="Verdana" w:hAnsi="Verdana"/>
          <w:sz w:val="18"/>
          <w:szCs w:val="18"/>
        </w:rPr>
        <w:t xml:space="preserve"> bo znašal 11</w:t>
      </w:r>
      <w:r w:rsidRPr="00BE0C25">
        <w:rPr>
          <w:rFonts w:ascii="Verdana" w:hAnsi="Verdana"/>
          <w:sz w:val="18"/>
          <w:szCs w:val="18"/>
        </w:rPr>
        <w:t xml:space="preserve"> milijonov €.</w:t>
      </w:r>
      <w:r>
        <w:rPr>
          <w:rFonts w:ascii="Verdana" w:hAnsi="Verdana"/>
          <w:sz w:val="18"/>
          <w:szCs w:val="18"/>
        </w:rPr>
        <w:t xml:space="preserve"> </w:t>
      </w:r>
    </w:p>
    <w:p w:rsidR="009B4428" w:rsidRDefault="009B4428" w:rsidP="009B4428">
      <w:pPr>
        <w:pStyle w:val="Telobesedila"/>
        <w:spacing w:line="288" w:lineRule="auto"/>
        <w:rPr>
          <w:rFonts w:ascii="Verdana" w:hAnsi="Verdana"/>
          <w:sz w:val="18"/>
          <w:szCs w:val="18"/>
        </w:rPr>
      </w:pPr>
    </w:p>
    <w:p w:rsidR="009B4428" w:rsidRDefault="009B4428" w:rsidP="009B4428">
      <w:pPr>
        <w:pStyle w:val="Telobesedila"/>
        <w:spacing w:line="288" w:lineRule="auto"/>
        <w:rPr>
          <w:rFonts w:ascii="Verdana" w:hAnsi="Verdana"/>
          <w:sz w:val="18"/>
          <w:szCs w:val="18"/>
        </w:rPr>
      </w:pPr>
      <w:r>
        <w:rPr>
          <w:rFonts w:ascii="Verdana" w:hAnsi="Verdana"/>
          <w:sz w:val="18"/>
          <w:szCs w:val="18"/>
        </w:rPr>
        <w:t>Na področju razvoja nemoteno nadaljujemo z začrtanim delom. Pozornost bomo v letu 2016 namenili trem področjem, to so: razvoj novih izdelkov z visoko dodano vrednostjo (npr. TiO</w:t>
      </w:r>
      <w:r w:rsidRPr="00F44C9F">
        <w:rPr>
          <w:rFonts w:ascii="Verdana" w:hAnsi="Verdana"/>
          <w:sz w:val="18"/>
          <w:szCs w:val="18"/>
          <w:vertAlign w:val="subscript"/>
        </w:rPr>
        <w:t>2</w:t>
      </w:r>
      <w:r>
        <w:rPr>
          <w:rFonts w:ascii="Verdana" w:hAnsi="Verdana"/>
          <w:sz w:val="18"/>
          <w:szCs w:val="18"/>
        </w:rPr>
        <w:t xml:space="preserve"> </w:t>
      </w:r>
      <w:proofErr w:type="spellStart"/>
      <w:r>
        <w:rPr>
          <w:rFonts w:ascii="Verdana" w:hAnsi="Verdana"/>
          <w:sz w:val="18"/>
          <w:szCs w:val="18"/>
        </w:rPr>
        <w:t>anatas</w:t>
      </w:r>
      <w:proofErr w:type="spellEnd"/>
      <w:r>
        <w:rPr>
          <w:rFonts w:ascii="Verdana" w:hAnsi="Verdana"/>
          <w:sz w:val="18"/>
          <w:szCs w:val="18"/>
        </w:rPr>
        <w:t xml:space="preserve"> za uporabo v visokotemperaturnih katalizatorjih), izboljšave obstoječih izdelkov in trženjsko uvajanje / obdelava trga za že razvite izdelke. </w:t>
      </w:r>
    </w:p>
    <w:p w:rsidR="009B4428" w:rsidRPr="00BE0C25" w:rsidRDefault="009B4428" w:rsidP="009B4428">
      <w:pPr>
        <w:pStyle w:val="Telobesedila"/>
        <w:spacing w:line="288" w:lineRule="auto"/>
        <w:rPr>
          <w:rFonts w:ascii="Verdana" w:hAnsi="Verdana"/>
          <w:sz w:val="18"/>
          <w:szCs w:val="18"/>
        </w:rPr>
      </w:pPr>
    </w:p>
    <w:p w:rsidR="009B4428" w:rsidRPr="00BE0C25" w:rsidRDefault="009B4428" w:rsidP="009B4428">
      <w:pPr>
        <w:pStyle w:val="Telobesedila"/>
        <w:spacing w:line="288" w:lineRule="auto"/>
        <w:rPr>
          <w:rFonts w:ascii="Verdana" w:hAnsi="Verdana"/>
          <w:sz w:val="18"/>
          <w:szCs w:val="18"/>
        </w:rPr>
      </w:pPr>
      <w:r>
        <w:rPr>
          <w:rFonts w:ascii="Verdana" w:hAnsi="Verdana"/>
          <w:sz w:val="18"/>
          <w:szCs w:val="18"/>
        </w:rPr>
        <w:t>Gotovo bomo tudi v letu 2016 posebno pozornost namenili zagotavljanju materialne in socialne varnosti zaposlenih ter</w:t>
      </w:r>
      <w:r w:rsidRPr="00BE0C25">
        <w:rPr>
          <w:rFonts w:ascii="Verdana" w:hAnsi="Verdana"/>
          <w:sz w:val="18"/>
          <w:szCs w:val="18"/>
        </w:rPr>
        <w:t xml:space="preserve"> </w:t>
      </w:r>
      <w:r>
        <w:rPr>
          <w:rFonts w:ascii="Verdana" w:hAnsi="Verdana"/>
          <w:sz w:val="18"/>
          <w:szCs w:val="18"/>
        </w:rPr>
        <w:t xml:space="preserve">njihovemu </w:t>
      </w:r>
      <w:r w:rsidRPr="00BE0C25">
        <w:rPr>
          <w:rFonts w:ascii="Verdana" w:hAnsi="Verdana"/>
          <w:sz w:val="18"/>
          <w:szCs w:val="18"/>
        </w:rPr>
        <w:t>varn</w:t>
      </w:r>
      <w:r>
        <w:rPr>
          <w:rFonts w:ascii="Verdana" w:hAnsi="Verdana"/>
          <w:sz w:val="18"/>
          <w:szCs w:val="18"/>
        </w:rPr>
        <w:t xml:space="preserve">emu delu. Politiko in strategijo na tem področju bomo sprejeli in vodili v sodelovanju, posvetovanju in konsenzu z zaposlenimi, njihovimi predstavniki in sindikati. </w:t>
      </w:r>
    </w:p>
    <w:p w:rsidR="009B4428" w:rsidRPr="00BE0C25" w:rsidRDefault="009B4428" w:rsidP="009B4428">
      <w:pPr>
        <w:pStyle w:val="Telobesedila"/>
        <w:spacing w:line="288" w:lineRule="auto"/>
        <w:rPr>
          <w:rFonts w:ascii="Verdana" w:hAnsi="Verdana"/>
          <w:sz w:val="18"/>
          <w:szCs w:val="18"/>
        </w:rPr>
      </w:pPr>
    </w:p>
    <w:p w:rsidR="009B4428" w:rsidRPr="00BE0C25" w:rsidRDefault="009B4428" w:rsidP="009B4428">
      <w:pPr>
        <w:pStyle w:val="Telobesedila"/>
        <w:spacing w:line="288" w:lineRule="auto"/>
        <w:rPr>
          <w:rFonts w:ascii="Verdana" w:hAnsi="Verdana"/>
          <w:sz w:val="18"/>
          <w:szCs w:val="18"/>
        </w:rPr>
      </w:pPr>
      <w:r>
        <w:rPr>
          <w:rFonts w:ascii="Verdana" w:hAnsi="Verdana"/>
          <w:sz w:val="18"/>
          <w:szCs w:val="18"/>
        </w:rPr>
        <w:t>Vse ocenjene vrednosti za leto 2015</w:t>
      </w:r>
      <w:r w:rsidRPr="00BE0C25">
        <w:rPr>
          <w:rFonts w:ascii="Verdana" w:hAnsi="Verdana"/>
          <w:sz w:val="18"/>
          <w:szCs w:val="18"/>
        </w:rPr>
        <w:t xml:space="preserve">, ki jih navajamo v poslovnem načrtu v nadaljevanju (in uvodu), kakor tudi primerjave in relacije načrtovanih vrednosti s predhodnim letom, se nanašajo na izdelano oceno poslovanja in poslovne uspešnosti </w:t>
      </w:r>
      <w:r>
        <w:rPr>
          <w:rFonts w:ascii="Verdana" w:hAnsi="Verdana"/>
          <w:sz w:val="18"/>
          <w:szCs w:val="18"/>
        </w:rPr>
        <w:t>Cinkarne Celje, d.d. v letu 2015</w:t>
      </w:r>
      <w:r w:rsidRPr="00BE0C25">
        <w:rPr>
          <w:rFonts w:ascii="Verdana" w:hAnsi="Verdana"/>
          <w:sz w:val="18"/>
          <w:szCs w:val="18"/>
        </w:rPr>
        <w:t xml:space="preserve">. Ocena izhaja iz že realiziranih vrednosti v obdobju </w:t>
      </w:r>
      <w:r>
        <w:rPr>
          <w:rFonts w:ascii="Verdana" w:hAnsi="Verdana"/>
          <w:sz w:val="18"/>
          <w:szCs w:val="18"/>
        </w:rPr>
        <w:t>I. - IX. in I. - X. 2015</w:t>
      </w:r>
      <w:r w:rsidRPr="00BE0C25">
        <w:rPr>
          <w:rFonts w:ascii="Verdana" w:hAnsi="Verdana"/>
          <w:sz w:val="18"/>
          <w:szCs w:val="18"/>
        </w:rPr>
        <w:t xml:space="preserve"> ter realnih predpostavkah o gibanju spremenljivk do konca leta.  </w:t>
      </w:r>
    </w:p>
    <w:p w:rsidR="00F66B34" w:rsidRDefault="00F66B34" w:rsidP="00231E22">
      <w:pPr>
        <w:spacing w:line="264" w:lineRule="auto"/>
        <w:rPr>
          <w:sz w:val="18"/>
          <w:szCs w:val="18"/>
        </w:rPr>
      </w:pPr>
    </w:p>
    <w:p w:rsidR="00F66B34" w:rsidRDefault="00F66B34" w:rsidP="00231E22">
      <w:pPr>
        <w:spacing w:line="264" w:lineRule="auto"/>
        <w:rPr>
          <w:sz w:val="18"/>
          <w:szCs w:val="18"/>
        </w:rPr>
      </w:pPr>
    </w:p>
    <w:p w:rsidR="00231E22" w:rsidRPr="006A4A02" w:rsidRDefault="00231E22" w:rsidP="00231E22">
      <w:pPr>
        <w:spacing w:line="264" w:lineRule="auto"/>
        <w:outlineLvl w:val="0"/>
        <w:rPr>
          <w:sz w:val="18"/>
          <w:szCs w:val="18"/>
        </w:rPr>
      </w:pPr>
    </w:p>
    <w:p w:rsidR="00231E22" w:rsidRPr="006A4A02" w:rsidRDefault="0079680C" w:rsidP="00231E22">
      <w:pPr>
        <w:spacing w:line="264" w:lineRule="auto"/>
        <w:outlineLvl w:val="0"/>
        <w:rPr>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261pt;margin-top:1.1pt;width:162pt;height:99pt;z-index:-251658752">
            <v:imagedata r:id="rId8" o:title=""/>
          </v:shape>
          <o:OLEObject Type="Embed" ProgID="Msxml2.SAXXMLReader.5.0" ShapeID="_x0000_s1037" DrawAspect="Content" ObjectID="_1511614205" r:id="rId9"/>
        </w:pict>
      </w:r>
    </w:p>
    <w:p w:rsidR="00231E22" w:rsidRPr="006A4A02" w:rsidRDefault="00231E22" w:rsidP="00231E22">
      <w:pPr>
        <w:pStyle w:val="Telobesedila"/>
        <w:spacing w:line="264" w:lineRule="auto"/>
        <w:ind w:left="4544" w:firstLine="216"/>
        <w:rPr>
          <w:rFonts w:ascii="Verdana" w:hAnsi="Verdana"/>
          <w:b/>
          <w:sz w:val="18"/>
          <w:szCs w:val="18"/>
        </w:rPr>
      </w:pPr>
    </w:p>
    <w:p w:rsidR="00231E22" w:rsidRPr="006A4A02" w:rsidRDefault="00231E22" w:rsidP="00231E22">
      <w:pPr>
        <w:pStyle w:val="Telobesedila"/>
        <w:spacing w:line="264" w:lineRule="auto"/>
        <w:ind w:left="4544" w:firstLine="216"/>
        <w:rPr>
          <w:rFonts w:ascii="Verdana" w:hAnsi="Verdana"/>
          <w:b/>
          <w:sz w:val="18"/>
          <w:szCs w:val="18"/>
        </w:rPr>
      </w:pPr>
    </w:p>
    <w:p w:rsidR="00231E22" w:rsidRPr="006A4A02" w:rsidRDefault="00104EF9" w:rsidP="00104EF9">
      <w:pPr>
        <w:pStyle w:val="Telobesedila"/>
        <w:spacing w:line="288" w:lineRule="auto"/>
        <w:ind w:left="4544" w:firstLine="216"/>
        <w:outlineLvl w:val="0"/>
        <w:rPr>
          <w:rFonts w:ascii="Verdana" w:hAnsi="Verdana"/>
          <w:b/>
          <w:sz w:val="18"/>
          <w:szCs w:val="18"/>
        </w:rPr>
      </w:pPr>
      <w:r>
        <w:rPr>
          <w:rFonts w:ascii="Verdana" w:hAnsi="Verdana"/>
          <w:b/>
          <w:sz w:val="18"/>
          <w:szCs w:val="18"/>
        </w:rPr>
        <w:t xml:space="preserve"> </w:t>
      </w:r>
      <w:r w:rsidR="00231E22" w:rsidRPr="006A4A02">
        <w:rPr>
          <w:rFonts w:ascii="Verdana" w:hAnsi="Verdana"/>
          <w:b/>
          <w:sz w:val="18"/>
          <w:szCs w:val="18"/>
        </w:rPr>
        <w:t>Predsednik Uprave – generalni direktor</w:t>
      </w:r>
    </w:p>
    <w:p w:rsidR="00231E22" w:rsidRPr="006A4A02" w:rsidRDefault="00231E22" w:rsidP="00104EF9">
      <w:pPr>
        <w:pStyle w:val="Telobesedila"/>
        <w:spacing w:line="288" w:lineRule="auto"/>
        <w:jc w:val="right"/>
        <w:outlineLvl w:val="0"/>
        <w:rPr>
          <w:rFonts w:ascii="Verdana" w:hAnsi="Verdana"/>
          <w:sz w:val="18"/>
          <w:szCs w:val="18"/>
        </w:rPr>
      </w:pPr>
      <w:r w:rsidRPr="006A4A02">
        <w:rPr>
          <w:rFonts w:ascii="Verdana" w:hAnsi="Verdana"/>
          <w:sz w:val="18"/>
          <w:szCs w:val="18"/>
        </w:rPr>
        <w:t>Tomaž BENČINA, univ.dipl.inž.metal. in univ.dipl.ekon.</w:t>
      </w:r>
    </w:p>
    <w:p w:rsidR="00231E22" w:rsidRDefault="00231E22" w:rsidP="00104EF9">
      <w:pPr>
        <w:spacing w:line="288" w:lineRule="auto"/>
      </w:pPr>
    </w:p>
    <w:p w:rsidR="00D20817" w:rsidRDefault="00D20817" w:rsidP="00DF550E">
      <w:pPr>
        <w:pStyle w:val="Telobesedila"/>
        <w:ind w:left="4544" w:firstLine="216"/>
        <w:rPr>
          <w:rFonts w:ascii="Arial Narrow" w:hAnsi="Arial Narrow"/>
          <w:b/>
          <w:sz w:val="22"/>
          <w:szCs w:val="22"/>
        </w:rPr>
      </w:pPr>
    </w:p>
    <w:p w:rsidR="00F07A23" w:rsidRDefault="00231E22" w:rsidP="00356B5D">
      <w:pPr>
        <w:rPr>
          <w:b/>
          <w:color w:val="FF0000"/>
        </w:rPr>
      </w:pPr>
      <w:r>
        <w:rPr>
          <w:b/>
          <w:color w:val="FF0000"/>
        </w:rPr>
        <w:br w:type="page"/>
      </w:r>
    </w:p>
    <w:p w:rsidR="00356B5D" w:rsidRPr="00F07A23" w:rsidRDefault="00F07A23" w:rsidP="00356B5D">
      <w:pPr>
        <w:rPr>
          <w:b/>
          <w:color w:val="FF0000"/>
          <w:sz w:val="28"/>
          <w:szCs w:val="28"/>
        </w:rPr>
      </w:pPr>
      <w:r w:rsidRPr="00F07A23">
        <w:rPr>
          <w:b/>
          <w:color w:val="FF0000"/>
          <w:sz w:val="28"/>
          <w:szCs w:val="28"/>
        </w:rPr>
        <w:lastRenderedPageBreak/>
        <w:t>Načrtovan</w:t>
      </w:r>
      <w:r w:rsidR="00F572AB">
        <w:rPr>
          <w:b/>
          <w:color w:val="FF0000"/>
          <w:sz w:val="28"/>
          <w:szCs w:val="28"/>
        </w:rPr>
        <w:t>i</w:t>
      </w:r>
      <w:r w:rsidRPr="00F07A23">
        <w:rPr>
          <w:b/>
          <w:color w:val="FF0000"/>
          <w:sz w:val="28"/>
          <w:szCs w:val="28"/>
        </w:rPr>
        <w:t xml:space="preserve"> izkaz poslovnega izida</w:t>
      </w:r>
    </w:p>
    <w:p w:rsidR="0081298B" w:rsidRPr="00231E22" w:rsidRDefault="0081298B" w:rsidP="009214D4">
      <w:pPr>
        <w:rPr>
          <w:b/>
          <w:color w:val="FF0000"/>
          <w:sz w:val="12"/>
          <w:szCs w:val="12"/>
          <w:u w:val="single"/>
        </w:rPr>
      </w:pPr>
    </w:p>
    <w:p w:rsidR="0081298B" w:rsidRPr="000A7C17" w:rsidRDefault="00607B53" w:rsidP="00607B53">
      <w:pPr>
        <w:jc w:val="right"/>
        <w:rPr>
          <w:sz w:val="16"/>
          <w:szCs w:val="16"/>
        </w:rPr>
      </w:pPr>
      <w:r w:rsidRPr="000A7C17">
        <w:rPr>
          <w:sz w:val="16"/>
          <w:szCs w:val="16"/>
        </w:rPr>
        <w:t>v €</w:t>
      </w:r>
    </w:p>
    <w:tbl>
      <w:tblPr>
        <w:tblW w:w="9386" w:type="dxa"/>
        <w:tblInd w:w="70" w:type="dxa"/>
        <w:tblCellMar>
          <w:left w:w="70" w:type="dxa"/>
          <w:right w:w="70" w:type="dxa"/>
        </w:tblCellMar>
        <w:tblLook w:val="04A0" w:firstRow="1" w:lastRow="0" w:firstColumn="1" w:lastColumn="0" w:noHBand="0" w:noVBand="1"/>
      </w:tblPr>
      <w:tblGrid>
        <w:gridCol w:w="388"/>
        <w:gridCol w:w="4574"/>
        <w:gridCol w:w="1256"/>
        <w:gridCol w:w="1256"/>
        <w:gridCol w:w="1196"/>
        <w:gridCol w:w="716"/>
      </w:tblGrid>
      <w:tr w:rsidR="009B4428" w:rsidRPr="00C96A5A" w:rsidTr="005D277E">
        <w:trPr>
          <w:trHeight w:val="227"/>
        </w:trPr>
        <w:tc>
          <w:tcPr>
            <w:tcW w:w="388" w:type="dxa"/>
            <w:tcBorders>
              <w:top w:val="single" w:sz="4" w:space="0" w:color="FF0000"/>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single" w:sz="4" w:space="0" w:color="FF0000"/>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125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center"/>
              <w:rPr>
                <w:rFonts w:ascii="Arial Narrow" w:hAnsi="Arial Narrow" w:cs="Arial"/>
                <w:b/>
                <w:bCs/>
                <w:sz w:val="16"/>
                <w:szCs w:val="16"/>
              </w:rPr>
            </w:pPr>
            <w:r w:rsidRPr="00C96A5A">
              <w:rPr>
                <w:rFonts w:ascii="Arial Narrow" w:hAnsi="Arial Narrow" w:cs="Arial"/>
                <w:b/>
                <w:bCs/>
                <w:sz w:val="16"/>
                <w:szCs w:val="16"/>
              </w:rPr>
              <w:t>leto</w:t>
            </w:r>
          </w:p>
        </w:tc>
        <w:tc>
          <w:tcPr>
            <w:tcW w:w="125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center"/>
              <w:rPr>
                <w:rFonts w:ascii="Arial Narrow" w:hAnsi="Arial Narrow" w:cs="Arial"/>
                <w:b/>
                <w:bCs/>
                <w:sz w:val="16"/>
                <w:szCs w:val="16"/>
              </w:rPr>
            </w:pPr>
            <w:r w:rsidRPr="00C96A5A">
              <w:rPr>
                <w:rFonts w:ascii="Arial Narrow" w:hAnsi="Arial Narrow" w:cs="Arial"/>
                <w:b/>
                <w:bCs/>
                <w:sz w:val="16"/>
                <w:szCs w:val="16"/>
              </w:rPr>
              <w:t>OCENA</w:t>
            </w:r>
          </w:p>
        </w:tc>
        <w:tc>
          <w:tcPr>
            <w:tcW w:w="119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center"/>
              <w:rPr>
                <w:rFonts w:ascii="Arial Narrow" w:hAnsi="Arial Narrow" w:cs="Arial"/>
                <w:b/>
                <w:bCs/>
                <w:sz w:val="16"/>
                <w:szCs w:val="16"/>
              </w:rPr>
            </w:pPr>
            <w:r w:rsidRPr="00C96A5A">
              <w:rPr>
                <w:rFonts w:ascii="Arial Narrow" w:hAnsi="Arial Narrow" w:cs="Arial"/>
                <w:b/>
                <w:bCs/>
                <w:sz w:val="16"/>
                <w:szCs w:val="16"/>
              </w:rPr>
              <w:t>PLAN</w:t>
            </w:r>
          </w:p>
        </w:tc>
        <w:tc>
          <w:tcPr>
            <w:tcW w:w="716" w:type="dxa"/>
            <w:tcBorders>
              <w:top w:val="single" w:sz="4" w:space="0" w:color="FF0000"/>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center"/>
              <w:rPr>
                <w:rFonts w:ascii="Arial Narrow" w:hAnsi="Arial Narrow" w:cs="Arial"/>
                <w:b/>
                <w:bCs/>
                <w:sz w:val="16"/>
                <w:szCs w:val="16"/>
              </w:rPr>
            </w:pPr>
            <w:r w:rsidRPr="00C96A5A">
              <w:rPr>
                <w:rFonts w:ascii="Arial Narrow" w:hAnsi="Arial Narrow" w:cs="Arial"/>
                <w:b/>
                <w:bCs/>
                <w:sz w:val="16"/>
                <w:szCs w:val="16"/>
              </w:rPr>
              <w:t>Indeks</w:t>
            </w:r>
          </w:p>
        </w:tc>
      </w:tr>
      <w:tr w:rsidR="009B4428" w:rsidRPr="00C96A5A" w:rsidTr="005D277E">
        <w:trPr>
          <w:trHeight w:val="227"/>
        </w:trPr>
        <w:tc>
          <w:tcPr>
            <w:tcW w:w="388" w:type="dxa"/>
            <w:tcBorders>
              <w:top w:val="nil"/>
              <w:left w:val="nil"/>
              <w:bottom w:val="single" w:sz="4" w:space="0" w:color="FF0000"/>
              <w:right w:val="nil"/>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 </w:t>
            </w:r>
          </w:p>
        </w:tc>
        <w:tc>
          <w:tcPr>
            <w:tcW w:w="4574" w:type="dxa"/>
            <w:tcBorders>
              <w:top w:val="nil"/>
              <w:left w:val="nil"/>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 </w:t>
            </w:r>
          </w:p>
        </w:tc>
        <w:tc>
          <w:tcPr>
            <w:tcW w:w="1256" w:type="dxa"/>
            <w:tcBorders>
              <w:top w:val="nil"/>
              <w:left w:val="single" w:sz="4" w:space="0" w:color="A6A6A6" w:themeColor="background1" w:themeShade="A6"/>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jc w:val="center"/>
              <w:rPr>
                <w:rFonts w:ascii="Arial Narrow" w:hAnsi="Arial Narrow" w:cs="Arial"/>
                <w:b/>
                <w:bCs/>
                <w:sz w:val="16"/>
                <w:szCs w:val="16"/>
              </w:rPr>
            </w:pPr>
            <w:r w:rsidRPr="00C96A5A">
              <w:rPr>
                <w:rFonts w:ascii="Arial Narrow" w:hAnsi="Arial Narrow" w:cs="Arial"/>
                <w:b/>
                <w:bCs/>
                <w:sz w:val="16"/>
                <w:szCs w:val="16"/>
              </w:rPr>
              <w:t>2014</w:t>
            </w:r>
          </w:p>
        </w:tc>
        <w:tc>
          <w:tcPr>
            <w:tcW w:w="1256" w:type="dxa"/>
            <w:tcBorders>
              <w:top w:val="nil"/>
              <w:left w:val="single" w:sz="4" w:space="0" w:color="A6A6A6" w:themeColor="background1" w:themeShade="A6"/>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jc w:val="center"/>
              <w:rPr>
                <w:rFonts w:ascii="Arial Narrow" w:hAnsi="Arial Narrow" w:cs="Arial"/>
                <w:b/>
                <w:bCs/>
                <w:sz w:val="16"/>
                <w:szCs w:val="16"/>
              </w:rPr>
            </w:pPr>
            <w:r w:rsidRPr="00C96A5A">
              <w:rPr>
                <w:rFonts w:ascii="Arial Narrow" w:hAnsi="Arial Narrow" w:cs="Arial"/>
                <w:b/>
                <w:bCs/>
                <w:sz w:val="16"/>
                <w:szCs w:val="16"/>
              </w:rPr>
              <w:t>2015</w:t>
            </w:r>
          </w:p>
        </w:tc>
        <w:tc>
          <w:tcPr>
            <w:tcW w:w="1196" w:type="dxa"/>
            <w:tcBorders>
              <w:top w:val="nil"/>
              <w:left w:val="single" w:sz="4" w:space="0" w:color="A6A6A6" w:themeColor="background1" w:themeShade="A6"/>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jc w:val="center"/>
              <w:rPr>
                <w:rFonts w:ascii="Arial Narrow" w:hAnsi="Arial Narrow" w:cs="Arial"/>
                <w:b/>
                <w:bCs/>
                <w:sz w:val="16"/>
                <w:szCs w:val="16"/>
              </w:rPr>
            </w:pPr>
            <w:r w:rsidRPr="00C96A5A">
              <w:rPr>
                <w:rFonts w:ascii="Arial Narrow" w:hAnsi="Arial Narrow" w:cs="Arial"/>
                <w:b/>
                <w:bCs/>
                <w:sz w:val="16"/>
                <w:szCs w:val="16"/>
              </w:rPr>
              <w:t>2016</w:t>
            </w:r>
          </w:p>
        </w:tc>
        <w:tc>
          <w:tcPr>
            <w:tcW w:w="716" w:type="dxa"/>
            <w:tcBorders>
              <w:top w:val="nil"/>
              <w:left w:val="single" w:sz="4" w:space="0" w:color="A6A6A6" w:themeColor="background1" w:themeShade="A6"/>
              <w:bottom w:val="single" w:sz="4" w:space="0" w:color="FF0000"/>
              <w:right w:val="nil"/>
            </w:tcBorders>
            <w:shd w:val="clear" w:color="auto" w:fill="auto"/>
            <w:noWrap/>
            <w:vAlign w:val="bottom"/>
            <w:hideMark/>
          </w:tcPr>
          <w:p w:rsidR="009B4428" w:rsidRPr="00C96A5A" w:rsidRDefault="009B4428" w:rsidP="005D277E">
            <w:pPr>
              <w:jc w:val="center"/>
              <w:rPr>
                <w:rFonts w:ascii="Arial Narrow" w:hAnsi="Arial Narrow" w:cs="Arial"/>
                <w:b/>
                <w:bCs/>
                <w:sz w:val="16"/>
                <w:szCs w:val="16"/>
              </w:rPr>
            </w:pPr>
            <w:r w:rsidRPr="00C96A5A">
              <w:rPr>
                <w:rFonts w:ascii="Arial Narrow" w:hAnsi="Arial Narrow" w:cs="Arial"/>
                <w:b/>
                <w:bCs/>
                <w:sz w:val="16"/>
                <w:szCs w:val="16"/>
              </w:rPr>
              <w:t>Pl/</w:t>
            </w:r>
            <w:proofErr w:type="spellStart"/>
            <w:r w:rsidRPr="00C96A5A">
              <w:rPr>
                <w:rFonts w:ascii="Arial Narrow" w:hAnsi="Arial Narrow" w:cs="Arial"/>
                <w:b/>
                <w:bCs/>
                <w:sz w:val="16"/>
                <w:szCs w:val="16"/>
              </w:rPr>
              <w:t>Oc</w:t>
            </w:r>
            <w:proofErr w:type="spellEnd"/>
          </w:p>
        </w:tc>
      </w:tr>
      <w:tr w:rsidR="009B4428" w:rsidRPr="002C33D9" w:rsidTr="005D277E">
        <w:trPr>
          <w:trHeight w:val="283"/>
        </w:trPr>
        <w:tc>
          <w:tcPr>
            <w:tcW w:w="388" w:type="dxa"/>
            <w:tcBorders>
              <w:left w:val="nil"/>
              <w:bottom w:val="single" w:sz="4" w:space="0" w:color="FF0000"/>
              <w:right w:val="nil"/>
            </w:tcBorders>
            <w:shd w:val="clear" w:color="auto" w:fill="F2F2F2" w:themeFill="background1" w:themeFillShade="F2"/>
            <w:noWrap/>
            <w:vAlign w:val="bottom"/>
            <w:hideMark/>
          </w:tcPr>
          <w:p w:rsidR="009B4428" w:rsidRPr="002C33D9" w:rsidRDefault="009B4428" w:rsidP="005D277E">
            <w:pPr>
              <w:rPr>
                <w:rFonts w:ascii="Arial Narrow" w:hAnsi="Arial Narrow" w:cs="Arial"/>
                <w:b/>
                <w:bCs/>
                <w:sz w:val="16"/>
                <w:szCs w:val="16"/>
              </w:rPr>
            </w:pPr>
            <w:r w:rsidRPr="002C33D9">
              <w:rPr>
                <w:rFonts w:ascii="Arial Narrow" w:hAnsi="Arial Narrow" w:cs="Arial"/>
                <w:b/>
                <w:bCs/>
                <w:sz w:val="16"/>
                <w:szCs w:val="16"/>
              </w:rPr>
              <w:t>1.</w:t>
            </w:r>
          </w:p>
        </w:tc>
        <w:tc>
          <w:tcPr>
            <w:tcW w:w="4574" w:type="dxa"/>
            <w:tcBorders>
              <w:left w:val="nil"/>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rPr>
                <w:rFonts w:ascii="Arial Narrow" w:hAnsi="Arial Narrow" w:cs="Arial"/>
                <w:b/>
                <w:bCs/>
                <w:sz w:val="16"/>
                <w:szCs w:val="16"/>
              </w:rPr>
            </w:pPr>
            <w:r w:rsidRPr="002C33D9">
              <w:rPr>
                <w:rFonts w:ascii="Arial Narrow" w:hAnsi="Arial Narrow" w:cs="Arial"/>
                <w:b/>
                <w:bCs/>
                <w:sz w:val="16"/>
                <w:szCs w:val="16"/>
              </w:rPr>
              <w:t>Čisti prihodki od prodaje</w:t>
            </w:r>
          </w:p>
        </w:tc>
        <w:tc>
          <w:tcPr>
            <w:tcW w:w="1256" w:type="dxa"/>
            <w:tcBorders>
              <w:left w:val="single" w:sz="4" w:space="0" w:color="A6A6A6" w:themeColor="background1" w:themeShade="A6"/>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160.670.852</w:t>
            </w:r>
          </w:p>
        </w:tc>
        <w:tc>
          <w:tcPr>
            <w:tcW w:w="1256" w:type="dxa"/>
            <w:tcBorders>
              <w:left w:val="single" w:sz="4" w:space="0" w:color="A6A6A6" w:themeColor="background1" w:themeShade="A6"/>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163.933.820</w:t>
            </w:r>
          </w:p>
        </w:tc>
        <w:tc>
          <w:tcPr>
            <w:tcW w:w="1196" w:type="dxa"/>
            <w:tcBorders>
              <w:left w:val="single" w:sz="4" w:space="0" w:color="A6A6A6" w:themeColor="background1" w:themeShade="A6"/>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162.432.431</w:t>
            </w:r>
          </w:p>
        </w:tc>
        <w:tc>
          <w:tcPr>
            <w:tcW w:w="716" w:type="dxa"/>
            <w:tcBorders>
              <w:left w:val="single" w:sz="4" w:space="0" w:color="A6A6A6" w:themeColor="background1" w:themeShade="A6"/>
              <w:bottom w:val="single" w:sz="4" w:space="0" w:color="FF0000"/>
              <w:right w:val="nil"/>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99</w:t>
            </w:r>
          </w:p>
        </w:tc>
      </w:tr>
      <w:tr w:rsidR="009B4428" w:rsidRPr="00C96A5A" w:rsidTr="005D277E">
        <w:trPr>
          <w:trHeight w:val="315"/>
        </w:trPr>
        <w:tc>
          <w:tcPr>
            <w:tcW w:w="388" w:type="dxa"/>
            <w:tcBorders>
              <w:top w:val="single" w:sz="4" w:space="0" w:color="FF0000"/>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single" w:sz="4" w:space="0" w:color="FF0000"/>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 xml:space="preserve"> - čisti prihodki iz prodaje na domačem trgu </w:t>
            </w:r>
          </w:p>
        </w:tc>
        <w:tc>
          <w:tcPr>
            <w:tcW w:w="125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22.830.923</w:t>
            </w:r>
          </w:p>
        </w:tc>
        <w:tc>
          <w:tcPr>
            <w:tcW w:w="125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21.928.030</w:t>
            </w:r>
          </w:p>
        </w:tc>
        <w:tc>
          <w:tcPr>
            <w:tcW w:w="119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21.041.355</w:t>
            </w:r>
          </w:p>
        </w:tc>
        <w:tc>
          <w:tcPr>
            <w:tcW w:w="716" w:type="dxa"/>
            <w:tcBorders>
              <w:top w:val="single" w:sz="4" w:space="0" w:color="FF0000"/>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96</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 xml:space="preserve"> - čisti prihodki iz prodaje na tujem trgu </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137.839.929</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142.005.790</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141.391.076</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100</w:t>
            </w:r>
          </w:p>
        </w:tc>
      </w:tr>
      <w:tr w:rsidR="009B4428" w:rsidRPr="00C96A5A" w:rsidTr="005D277E">
        <w:trPr>
          <w:trHeight w:val="345"/>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2.</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Sprememba vrednosti zalog proizvodov in nedokončane proizvodnje</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3.485.509</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-16.553</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0</w:t>
            </w:r>
          </w:p>
        </w:tc>
      </w:tr>
      <w:tr w:rsidR="009B4428" w:rsidRPr="00C96A5A" w:rsidTr="005D277E">
        <w:trPr>
          <w:trHeight w:val="285"/>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 xml:space="preserve">3. </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proofErr w:type="spellStart"/>
            <w:r w:rsidRPr="00C96A5A">
              <w:rPr>
                <w:rFonts w:ascii="Arial Narrow" w:hAnsi="Arial Narrow" w:cs="Arial"/>
                <w:b/>
                <w:bCs/>
                <w:sz w:val="16"/>
                <w:szCs w:val="16"/>
              </w:rPr>
              <w:t>Usredstveni</w:t>
            </w:r>
            <w:proofErr w:type="spellEnd"/>
            <w:r w:rsidRPr="00C96A5A">
              <w:rPr>
                <w:rFonts w:ascii="Arial Narrow" w:hAnsi="Arial Narrow" w:cs="Arial"/>
                <w:b/>
                <w:bCs/>
                <w:sz w:val="16"/>
                <w:szCs w:val="16"/>
              </w:rPr>
              <w:t xml:space="preserve"> lastni proizvodi in lastne storitve</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3.524.348</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1.753.356</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2.215.214</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126</w:t>
            </w:r>
          </w:p>
        </w:tc>
      </w:tr>
      <w:tr w:rsidR="009B4428" w:rsidRPr="00C96A5A" w:rsidTr="005D277E">
        <w:trPr>
          <w:trHeight w:val="285"/>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4.</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 xml:space="preserve">Drugi poslovni prihodki (s </w:t>
            </w:r>
            <w:proofErr w:type="spellStart"/>
            <w:r w:rsidRPr="00C96A5A">
              <w:rPr>
                <w:rFonts w:ascii="Arial Narrow" w:hAnsi="Arial Narrow" w:cs="Arial"/>
                <w:b/>
                <w:bCs/>
                <w:sz w:val="16"/>
                <w:szCs w:val="16"/>
              </w:rPr>
              <w:t>prevrednotovalnimi</w:t>
            </w:r>
            <w:proofErr w:type="spellEnd"/>
            <w:r w:rsidRPr="00C96A5A">
              <w:rPr>
                <w:rFonts w:ascii="Arial Narrow" w:hAnsi="Arial Narrow" w:cs="Arial"/>
                <w:b/>
                <w:bCs/>
                <w:sz w:val="16"/>
                <w:szCs w:val="16"/>
              </w:rPr>
              <w:t xml:space="preserve"> poslovnimi odhodki)</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1.899.459</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1.834.629</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710.000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39</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5.</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Stroški blaga, materiala in storitev</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109.721.189</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116.757.695</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119.832.170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103</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a) Nabavna vred. prodanega blaga in materiala ter stroški porab. Mat.</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98.433.432</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104.839.567</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108.647.415</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104</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b) Stroški storitev</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11.287.757</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11.918.128</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11.184.755</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94</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6.</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Stroški dela</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29.717.369</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28.853.981</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26.878.734</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93</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a) Stroški plač</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21.483.791</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21.190.821</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20.820.299</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98</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 xml:space="preserve">b) Stroški socialnih  zavarovanj </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1.685.075</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1.634.108</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1.530.668</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94</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c) Stroški pokojninskih zavarovanj</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2.268.420</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2.209.712</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2.216.988</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100</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č) Drugi stroški dela</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4.280.083</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3.819.340</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2.310.779</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61</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7.</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Odpisi vrednosti</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12.712.161</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12.697.552</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12.932.879</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102</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 xml:space="preserve">a) Amortizacija </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12.297.799</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12.646.172</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12.312.879</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97</w:t>
            </w:r>
          </w:p>
        </w:tc>
      </w:tr>
      <w:tr w:rsidR="009B4428" w:rsidRPr="00C96A5A" w:rsidTr="005D277E">
        <w:trPr>
          <w:trHeight w:val="255"/>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 xml:space="preserve">b) </w:t>
            </w:r>
            <w:proofErr w:type="spellStart"/>
            <w:r w:rsidRPr="00C96A5A">
              <w:rPr>
                <w:rFonts w:ascii="Arial Narrow" w:hAnsi="Arial Narrow" w:cs="Arial"/>
                <w:sz w:val="16"/>
                <w:szCs w:val="16"/>
              </w:rPr>
              <w:t>Prevrednotovalni</w:t>
            </w:r>
            <w:proofErr w:type="spellEnd"/>
            <w:r w:rsidRPr="00C96A5A">
              <w:rPr>
                <w:rFonts w:ascii="Arial Narrow" w:hAnsi="Arial Narrow" w:cs="Arial"/>
                <w:sz w:val="16"/>
                <w:szCs w:val="16"/>
              </w:rPr>
              <w:t xml:space="preserve"> poslov. odhodki pri </w:t>
            </w:r>
            <w:proofErr w:type="spellStart"/>
            <w:r w:rsidRPr="00C96A5A">
              <w:rPr>
                <w:rFonts w:ascii="Arial Narrow" w:hAnsi="Arial Narrow" w:cs="Arial"/>
                <w:sz w:val="16"/>
                <w:szCs w:val="16"/>
              </w:rPr>
              <w:t>neopredmet</w:t>
            </w:r>
            <w:proofErr w:type="spellEnd"/>
            <w:r w:rsidRPr="00C96A5A">
              <w:rPr>
                <w:rFonts w:ascii="Arial Narrow" w:hAnsi="Arial Narrow" w:cs="Arial"/>
                <w:sz w:val="16"/>
                <w:szCs w:val="16"/>
              </w:rPr>
              <w:t>. sred</w:t>
            </w:r>
            <w:r>
              <w:rPr>
                <w:rFonts w:ascii="Arial Narrow" w:hAnsi="Arial Narrow" w:cs="Arial"/>
                <w:sz w:val="16"/>
                <w:szCs w:val="16"/>
              </w:rPr>
              <w:t>.</w:t>
            </w:r>
            <w:r w:rsidRPr="00C96A5A">
              <w:rPr>
                <w:rFonts w:ascii="Arial Narrow" w:hAnsi="Arial Narrow" w:cs="Arial"/>
                <w:sz w:val="16"/>
                <w:szCs w:val="16"/>
              </w:rPr>
              <w:t xml:space="preserve"> in </w:t>
            </w:r>
            <w:proofErr w:type="spellStart"/>
            <w:r w:rsidRPr="00C96A5A">
              <w:rPr>
                <w:rFonts w:ascii="Arial Narrow" w:hAnsi="Arial Narrow" w:cs="Arial"/>
                <w:sz w:val="16"/>
                <w:szCs w:val="16"/>
              </w:rPr>
              <w:t>opredmet</w:t>
            </w:r>
            <w:proofErr w:type="spellEnd"/>
            <w:r w:rsidRPr="00C96A5A">
              <w:rPr>
                <w:rFonts w:ascii="Arial Narrow" w:hAnsi="Arial Narrow" w:cs="Arial"/>
                <w:sz w:val="16"/>
                <w:szCs w:val="16"/>
              </w:rPr>
              <w:t>. OS</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50.826</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30.940</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120.000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388</w:t>
            </w:r>
          </w:p>
        </w:tc>
      </w:tr>
      <w:tr w:rsidR="009B4428" w:rsidRPr="00C96A5A" w:rsidTr="005D277E">
        <w:trPr>
          <w:trHeight w:val="255"/>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 xml:space="preserve">c) </w:t>
            </w:r>
            <w:proofErr w:type="spellStart"/>
            <w:r w:rsidRPr="00C96A5A">
              <w:rPr>
                <w:rFonts w:ascii="Arial Narrow" w:hAnsi="Arial Narrow" w:cs="Arial"/>
                <w:sz w:val="16"/>
                <w:szCs w:val="16"/>
              </w:rPr>
              <w:t>Prevrednotovalni</w:t>
            </w:r>
            <w:proofErr w:type="spellEnd"/>
            <w:r w:rsidRPr="00C96A5A">
              <w:rPr>
                <w:rFonts w:ascii="Arial Narrow" w:hAnsi="Arial Narrow" w:cs="Arial"/>
                <w:sz w:val="16"/>
                <w:szCs w:val="16"/>
              </w:rPr>
              <w:t xml:space="preserve"> poslovni odhodki pri obratnih sredstvih</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363.536</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20.440</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500.000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2446</w:t>
            </w:r>
          </w:p>
        </w:tc>
      </w:tr>
      <w:tr w:rsidR="009B4428" w:rsidRPr="00C96A5A" w:rsidTr="005D277E">
        <w:trPr>
          <w:trHeight w:val="270"/>
        </w:trPr>
        <w:tc>
          <w:tcPr>
            <w:tcW w:w="388" w:type="dxa"/>
            <w:tcBorders>
              <w:top w:val="nil"/>
              <w:left w:val="nil"/>
              <w:bottom w:val="single" w:sz="4" w:space="0" w:color="FF0000"/>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8.</w:t>
            </w:r>
          </w:p>
        </w:tc>
        <w:tc>
          <w:tcPr>
            <w:tcW w:w="4574" w:type="dxa"/>
            <w:tcBorders>
              <w:top w:val="nil"/>
              <w:left w:val="nil"/>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 xml:space="preserve">Drugi poslovni odhodki </w:t>
            </w:r>
          </w:p>
        </w:tc>
        <w:tc>
          <w:tcPr>
            <w:tcW w:w="1256" w:type="dxa"/>
            <w:tcBorders>
              <w:top w:val="nil"/>
              <w:left w:val="single" w:sz="4" w:space="0" w:color="A6A6A6" w:themeColor="background1" w:themeShade="A6"/>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1.187.588</w:t>
            </w:r>
          </w:p>
        </w:tc>
        <w:tc>
          <w:tcPr>
            <w:tcW w:w="1256" w:type="dxa"/>
            <w:tcBorders>
              <w:top w:val="nil"/>
              <w:left w:val="single" w:sz="4" w:space="0" w:color="A6A6A6" w:themeColor="background1" w:themeShade="A6"/>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1.289.244</w:t>
            </w:r>
          </w:p>
        </w:tc>
        <w:tc>
          <w:tcPr>
            <w:tcW w:w="1196" w:type="dxa"/>
            <w:tcBorders>
              <w:top w:val="nil"/>
              <w:left w:val="single" w:sz="4" w:space="0" w:color="A6A6A6" w:themeColor="background1" w:themeShade="A6"/>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1.290.095</w:t>
            </w:r>
          </w:p>
        </w:tc>
        <w:tc>
          <w:tcPr>
            <w:tcW w:w="716" w:type="dxa"/>
            <w:tcBorders>
              <w:top w:val="nil"/>
              <w:left w:val="single" w:sz="4" w:space="0" w:color="A6A6A6" w:themeColor="background1" w:themeShade="A6"/>
              <w:bottom w:val="single" w:sz="4" w:space="0" w:color="FF0000"/>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100</w:t>
            </w:r>
          </w:p>
        </w:tc>
      </w:tr>
      <w:tr w:rsidR="009B4428" w:rsidRPr="002C33D9" w:rsidTr="005D277E">
        <w:trPr>
          <w:trHeight w:val="283"/>
        </w:trPr>
        <w:tc>
          <w:tcPr>
            <w:tcW w:w="388" w:type="dxa"/>
            <w:tcBorders>
              <w:top w:val="single" w:sz="4" w:space="0" w:color="FF0000"/>
              <w:left w:val="nil"/>
              <w:bottom w:val="single" w:sz="4" w:space="0" w:color="FF0000"/>
              <w:right w:val="nil"/>
            </w:tcBorders>
            <w:shd w:val="clear" w:color="auto" w:fill="F2F2F2" w:themeFill="background1" w:themeFillShade="F2"/>
            <w:noWrap/>
            <w:vAlign w:val="bottom"/>
            <w:hideMark/>
          </w:tcPr>
          <w:p w:rsidR="009B4428" w:rsidRPr="002C33D9" w:rsidRDefault="009B4428" w:rsidP="005D277E">
            <w:pPr>
              <w:rPr>
                <w:rFonts w:ascii="Arial Narrow" w:hAnsi="Arial Narrow" w:cs="Arial"/>
                <w:b/>
                <w:bCs/>
                <w:sz w:val="16"/>
                <w:szCs w:val="16"/>
              </w:rPr>
            </w:pPr>
          </w:p>
        </w:tc>
        <w:tc>
          <w:tcPr>
            <w:tcW w:w="4574" w:type="dxa"/>
            <w:tcBorders>
              <w:top w:val="single" w:sz="4" w:space="0" w:color="FF0000"/>
              <w:left w:val="nil"/>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rPr>
                <w:rFonts w:ascii="Arial Narrow" w:hAnsi="Arial Narrow" w:cs="Arial"/>
                <w:b/>
                <w:bCs/>
                <w:sz w:val="16"/>
                <w:szCs w:val="16"/>
              </w:rPr>
            </w:pPr>
            <w:r w:rsidRPr="002C33D9">
              <w:rPr>
                <w:rFonts w:ascii="Arial Narrow" w:hAnsi="Arial Narrow" w:cs="Arial"/>
                <w:b/>
                <w:bCs/>
                <w:sz w:val="16"/>
                <w:szCs w:val="16"/>
              </w:rPr>
              <w:t>Poslovni izid iz poslovanja</w:t>
            </w:r>
          </w:p>
        </w:tc>
        <w:tc>
          <w:tcPr>
            <w:tcW w:w="1256" w:type="dxa"/>
            <w:tcBorders>
              <w:top w:val="single" w:sz="4" w:space="0" w:color="FF0000"/>
              <w:left w:val="single" w:sz="4" w:space="0" w:color="A6A6A6" w:themeColor="background1" w:themeShade="A6"/>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16.241.861</w:t>
            </w:r>
          </w:p>
        </w:tc>
        <w:tc>
          <w:tcPr>
            <w:tcW w:w="1256" w:type="dxa"/>
            <w:tcBorders>
              <w:top w:val="single" w:sz="4" w:space="0" w:color="FF0000"/>
              <w:left w:val="single" w:sz="4" w:space="0" w:color="A6A6A6" w:themeColor="background1" w:themeShade="A6"/>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7.906.780</w:t>
            </w:r>
          </w:p>
        </w:tc>
        <w:tc>
          <w:tcPr>
            <w:tcW w:w="1196" w:type="dxa"/>
            <w:tcBorders>
              <w:top w:val="single" w:sz="4" w:space="0" w:color="FF0000"/>
              <w:left w:val="single" w:sz="4" w:space="0" w:color="A6A6A6" w:themeColor="background1" w:themeShade="A6"/>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4.423.767</w:t>
            </w:r>
          </w:p>
        </w:tc>
        <w:tc>
          <w:tcPr>
            <w:tcW w:w="716" w:type="dxa"/>
            <w:tcBorders>
              <w:top w:val="single" w:sz="4" w:space="0" w:color="FF0000"/>
              <w:left w:val="single" w:sz="4" w:space="0" w:color="A6A6A6" w:themeColor="background1" w:themeShade="A6"/>
              <w:bottom w:val="single" w:sz="4" w:space="0" w:color="FF0000"/>
              <w:right w:val="nil"/>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56</w:t>
            </w:r>
          </w:p>
        </w:tc>
      </w:tr>
      <w:tr w:rsidR="009B4428" w:rsidRPr="00C96A5A" w:rsidTr="005D277E">
        <w:trPr>
          <w:trHeight w:val="270"/>
        </w:trPr>
        <w:tc>
          <w:tcPr>
            <w:tcW w:w="388" w:type="dxa"/>
            <w:tcBorders>
              <w:top w:val="single" w:sz="4" w:space="0" w:color="FF0000"/>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9.</w:t>
            </w:r>
          </w:p>
        </w:tc>
        <w:tc>
          <w:tcPr>
            <w:tcW w:w="4574" w:type="dxa"/>
            <w:tcBorders>
              <w:top w:val="single" w:sz="4" w:space="0" w:color="FF0000"/>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 xml:space="preserve">Finančni prihodki iz deležev </w:t>
            </w:r>
          </w:p>
        </w:tc>
        <w:tc>
          <w:tcPr>
            <w:tcW w:w="125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18.240</w:t>
            </w:r>
          </w:p>
        </w:tc>
        <w:tc>
          <w:tcPr>
            <w:tcW w:w="125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23.856</w:t>
            </w:r>
          </w:p>
        </w:tc>
        <w:tc>
          <w:tcPr>
            <w:tcW w:w="119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23.000</w:t>
            </w:r>
          </w:p>
        </w:tc>
        <w:tc>
          <w:tcPr>
            <w:tcW w:w="716" w:type="dxa"/>
            <w:tcBorders>
              <w:top w:val="single" w:sz="4" w:space="0" w:color="FF0000"/>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96</w:t>
            </w:r>
          </w:p>
        </w:tc>
      </w:tr>
      <w:tr w:rsidR="009B4428" w:rsidRPr="00C96A5A" w:rsidTr="005D277E">
        <w:trPr>
          <w:trHeight w:val="255"/>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č) Finančni prihodki iz drugih naložb</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18.240</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23.856</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23.000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96</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10.</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Finančni prihodki iz danih posojil</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136.553</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44.140</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4.000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9</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a) Finančni prihodki iz posojil, danih družbam v skupini</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0</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0</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Pr>
                <w:rFonts w:ascii="Arial Narrow" w:hAnsi="Arial Narrow" w:cs="Arial"/>
                <w:sz w:val="16"/>
                <w:szCs w:val="16"/>
              </w:rPr>
              <w:t>-</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b) Finančni prihodki iz posojil, danih drugim</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136.553</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44.140</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4.000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9</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11.</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Finančni prihodki iz poslovnih terjatev</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337.055</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605.443</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300.000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50</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b) Finančni prihodki iz poslovnih terjatev do drugih</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337.055</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605.443</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300.000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50</w:t>
            </w:r>
          </w:p>
        </w:tc>
      </w:tr>
      <w:tr w:rsidR="009B4428" w:rsidRPr="00C96A5A" w:rsidTr="005D277E">
        <w:trPr>
          <w:trHeight w:val="315"/>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12.</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Finančni odhodki iz oslabitve in odpisov finančnih naložb</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339.503</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0</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0</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13.</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Finančni odhodki iz finančnih obveznosti</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65.130</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0</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0</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b) Finančni odhodki iz posojil, prejetih od bank</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65.130</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0</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0</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č) Finančni odhodki iz drugih finančnih obveznosti</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0</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0</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Pr>
                <w:rFonts w:ascii="Arial Narrow" w:hAnsi="Arial Narrow" w:cs="Arial"/>
                <w:b/>
                <w:bCs/>
                <w:sz w:val="16"/>
                <w:szCs w:val="16"/>
              </w:rPr>
              <w:t>-</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14.</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Finančni odhodki iz poslovnih obveznosti</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250.966</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523.432</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300.000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57</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b) Finančni odhodki iz poslov. obvez. do dobaviteljev in meničnih obvez.</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180.438</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324.128</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200.000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62</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sz w:val="16"/>
                <w:szCs w:val="16"/>
              </w:rPr>
            </w:pPr>
            <w:r w:rsidRPr="00C96A5A">
              <w:rPr>
                <w:rFonts w:ascii="Arial Narrow" w:hAnsi="Arial Narrow" w:cs="Arial"/>
                <w:sz w:val="16"/>
                <w:szCs w:val="16"/>
              </w:rPr>
              <w:t>c) Finančni odhodki iz drugih poslovnih obveznosti</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70.528</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199.304</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sz w:val="16"/>
                <w:szCs w:val="16"/>
              </w:rPr>
            </w:pPr>
            <w:r w:rsidRPr="00C96A5A">
              <w:rPr>
                <w:rFonts w:ascii="Arial Narrow" w:hAnsi="Arial Narrow" w:cs="Arial"/>
                <w:sz w:val="16"/>
                <w:szCs w:val="16"/>
              </w:rPr>
              <w:t>100.000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50</w:t>
            </w:r>
          </w:p>
        </w:tc>
      </w:tr>
      <w:tr w:rsidR="009B4428" w:rsidRPr="00C96A5A" w:rsidTr="005D277E">
        <w:trPr>
          <w:trHeight w:val="270"/>
        </w:trPr>
        <w:tc>
          <w:tcPr>
            <w:tcW w:w="388" w:type="dxa"/>
            <w:tcBorders>
              <w:top w:val="nil"/>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15.</w:t>
            </w:r>
          </w:p>
        </w:tc>
        <w:tc>
          <w:tcPr>
            <w:tcW w:w="4574" w:type="dxa"/>
            <w:tcBorders>
              <w:top w:val="nil"/>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 xml:space="preserve">Drugi prihodki </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33.652</w:t>
            </w:r>
          </w:p>
        </w:tc>
        <w:tc>
          <w:tcPr>
            <w:tcW w:w="125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78.812</w:t>
            </w:r>
          </w:p>
        </w:tc>
        <w:tc>
          <w:tcPr>
            <w:tcW w:w="1196" w:type="dxa"/>
            <w:tcBorders>
              <w:top w:val="nil"/>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65.000</w:t>
            </w:r>
          </w:p>
        </w:tc>
        <w:tc>
          <w:tcPr>
            <w:tcW w:w="716" w:type="dxa"/>
            <w:tcBorders>
              <w:top w:val="nil"/>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82</w:t>
            </w:r>
          </w:p>
        </w:tc>
      </w:tr>
      <w:tr w:rsidR="009B4428" w:rsidRPr="00C96A5A" w:rsidTr="005D277E">
        <w:trPr>
          <w:trHeight w:val="270"/>
        </w:trPr>
        <w:tc>
          <w:tcPr>
            <w:tcW w:w="388" w:type="dxa"/>
            <w:tcBorders>
              <w:top w:val="nil"/>
              <w:left w:val="nil"/>
              <w:bottom w:val="single" w:sz="4" w:space="0" w:color="FF0000"/>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16.</w:t>
            </w:r>
          </w:p>
        </w:tc>
        <w:tc>
          <w:tcPr>
            <w:tcW w:w="4574" w:type="dxa"/>
            <w:tcBorders>
              <w:top w:val="nil"/>
              <w:left w:val="nil"/>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 xml:space="preserve">Drugi odhodki </w:t>
            </w:r>
          </w:p>
        </w:tc>
        <w:tc>
          <w:tcPr>
            <w:tcW w:w="1256" w:type="dxa"/>
            <w:tcBorders>
              <w:top w:val="nil"/>
              <w:left w:val="single" w:sz="4" w:space="0" w:color="A6A6A6" w:themeColor="background1" w:themeShade="A6"/>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40.144</w:t>
            </w:r>
          </w:p>
        </w:tc>
        <w:tc>
          <w:tcPr>
            <w:tcW w:w="1256" w:type="dxa"/>
            <w:tcBorders>
              <w:top w:val="nil"/>
              <w:left w:val="single" w:sz="4" w:space="0" w:color="A6A6A6" w:themeColor="background1" w:themeShade="A6"/>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125.310</w:t>
            </w:r>
          </w:p>
        </w:tc>
        <w:tc>
          <w:tcPr>
            <w:tcW w:w="1196" w:type="dxa"/>
            <w:tcBorders>
              <w:top w:val="nil"/>
              <w:left w:val="single" w:sz="4" w:space="0" w:color="A6A6A6" w:themeColor="background1" w:themeShade="A6"/>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25.000</w:t>
            </w:r>
          </w:p>
        </w:tc>
        <w:tc>
          <w:tcPr>
            <w:tcW w:w="716" w:type="dxa"/>
            <w:tcBorders>
              <w:top w:val="nil"/>
              <w:left w:val="single" w:sz="4" w:space="0" w:color="A6A6A6" w:themeColor="background1" w:themeShade="A6"/>
              <w:bottom w:val="single" w:sz="4" w:space="0" w:color="FF0000"/>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20</w:t>
            </w:r>
          </w:p>
        </w:tc>
      </w:tr>
      <w:tr w:rsidR="009B4428" w:rsidRPr="002C33D9" w:rsidTr="005D277E">
        <w:trPr>
          <w:trHeight w:val="283"/>
        </w:trPr>
        <w:tc>
          <w:tcPr>
            <w:tcW w:w="388" w:type="dxa"/>
            <w:tcBorders>
              <w:top w:val="single" w:sz="4" w:space="0" w:color="FF0000"/>
              <w:left w:val="nil"/>
              <w:bottom w:val="single" w:sz="4" w:space="0" w:color="FF0000"/>
              <w:right w:val="nil"/>
            </w:tcBorders>
            <w:shd w:val="clear" w:color="auto" w:fill="F2F2F2" w:themeFill="background1" w:themeFillShade="F2"/>
            <w:noWrap/>
            <w:vAlign w:val="bottom"/>
            <w:hideMark/>
          </w:tcPr>
          <w:p w:rsidR="009B4428" w:rsidRPr="002C33D9" w:rsidRDefault="009B4428" w:rsidP="005D277E">
            <w:pPr>
              <w:rPr>
                <w:rFonts w:ascii="Arial Narrow" w:hAnsi="Arial Narrow" w:cs="Arial"/>
                <w:b/>
                <w:bCs/>
                <w:sz w:val="16"/>
                <w:szCs w:val="16"/>
              </w:rPr>
            </w:pPr>
          </w:p>
        </w:tc>
        <w:tc>
          <w:tcPr>
            <w:tcW w:w="4574" w:type="dxa"/>
            <w:tcBorders>
              <w:top w:val="single" w:sz="4" w:space="0" w:color="FF0000"/>
              <w:left w:val="nil"/>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rPr>
                <w:rFonts w:ascii="Arial Narrow" w:hAnsi="Arial Narrow" w:cs="Arial"/>
                <w:b/>
                <w:bCs/>
                <w:sz w:val="16"/>
                <w:szCs w:val="16"/>
              </w:rPr>
            </w:pPr>
            <w:r w:rsidRPr="002C33D9">
              <w:rPr>
                <w:rFonts w:ascii="Arial Narrow" w:hAnsi="Arial Narrow" w:cs="Arial"/>
                <w:b/>
                <w:bCs/>
                <w:sz w:val="16"/>
                <w:szCs w:val="16"/>
              </w:rPr>
              <w:t>Poslovni izid pred obdavčitvijo</w:t>
            </w:r>
          </w:p>
        </w:tc>
        <w:tc>
          <w:tcPr>
            <w:tcW w:w="1256" w:type="dxa"/>
            <w:tcBorders>
              <w:top w:val="single" w:sz="4" w:space="0" w:color="FF0000"/>
              <w:left w:val="single" w:sz="4" w:space="0" w:color="A6A6A6" w:themeColor="background1" w:themeShade="A6"/>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16.071.618</w:t>
            </w:r>
          </w:p>
        </w:tc>
        <w:tc>
          <w:tcPr>
            <w:tcW w:w="1256" w:type="dxa"/>
            <w:tcBorders>
              <w:top w:val="single" w:sz="4" w:space="0" w:color="FF0000"/>
              <w:left w:val="single" w:sz="4" w:space="0" w:color="A6A6A6" w:themeColor="background1" w:themeShade="A6"/>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8.010.289</w:t>
            </w:r>
          </w:p>
        </w:tc>
        <w:tc>
          <w:tcPr>
            <w:tcW w:w="1196" w:type="dxa"/>
            <w:tcBorders>
              <w:top w:val="single" w:sz="4" w:space="0" w:color="FF0000"/>
              <w:left w:val="single" w:sz="4" w:space="0" w:color="A6A6A6" w:themeColor="background1" w:themeShade="A6"/>
              <w:bottom w:val="single" w:sz="4" w:space="0" w:color="FF0000"/>
              <w:right w:val="single" w:sz="4" w:space="0" w:color="A6A6A6" w:themeColor="background1" w:themeShade="A6"/>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4.490.767</w:t>
            </w:r>
          </w:p>
        </w:tc>
        <w:tc>
          <w:tcPr>
            <w:tcW w:w="716" w:type="dxa"/>
            <w:tcBorders>
              <w:top w:val="single" w:sz="4" w:space="0" w:color="FF0000"/>
              <w:left w:val="single" w:sz="4" w:space="0" w:color="A6A6A6" w:themeColor="background1" w:themeShade="A6"/>
              <w:bottom w:val="single" w:sz="4" w:space="0" w:color="FF0000"/>
              <w:right w:val="nil"/>
            </w:tcBorders>
            <w:shd w:val="clear" w:color="auto"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56</w:t>
            </w:r>
          </w:p>
        </w:tc>
      </w:tr>
      <w:tr w:rsidR="009B4428" w:rsidRPr="00C96A5A" w:rsidTr="005D277E">
        <w:trPr>
          <w:trHeight w:val="330"/>
        </w:trPr>
        <w:tc>
          <w:tcPr>
            <w:tcW w:w="388" w:type="dxa"/>
            <w:tcBorders>
              <w:top w:val="single" w:sz="4" w:space="0" w:color="FF0000"/>
              <w:left w:val="nil"/>
              <w:bottom w:val="nil"/>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17.</w:t>
            </w:r>
          </w:p>
        </w:tc>
        <w:tc>
          <w:tcPr>
            <w:tcW w:w="4574" w:type="dxa"/>
            <w:tcBorders>
              <w:top w:val="single" w:sz="4" w:space="0" w:color="FF0000"/>
              <w:left w:val="nil"/>
              <w:bottom w:val="nil"/>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Davek iz dobička</w:t>
            </w:r>
          </w:p>
        </w:tc>
        <w:tc>
          <w:tcPr>
            <w:tcW w:w="125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2.029.330</w:t>
            </w:r>
          </w:p>
        </w:tc>
        <w:tc>
          <w:tcPr>
            <w:tcW w:w="125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640.823</w:t>
            </w:r>
          </w:p>
        </w:tc>
        <w:tc>
          <w:tcPr>
            <w:tcW w:w="1196" w:type="dxa"/>
            <w:tcBorders>
              <w:top w:val="single" w:sz="4" w:space="0" w:color="FF0000"/>
              <w:left w:val="single" w:sz="4" w:space="0" w:color="A6A6A6" w:themeColor="background1" w:themeShade="A6"/>
              <w:bottom w:val="nil"/>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583.800</w:t>
            </w:r>
          </w:p>
        </w:tc>
        <w:tc>
          <w:tcPr>
            <w:tcW w:w="716" w:type="dxa"/>
            <w:tcBorders>
              <w:top w:val="single" w:sz="4" w:space="0" w:color="FF0000"/>
              <w:left w:val="single" w:sz="4" w:space="0" w:color="A6A6A6" w:themeColor="background1" w:themeShade="A6"/>
              <w:bottom w:val="nil"/>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91</w:t>
            </w:r>
          </w:p>
        </w:tc>
      </w:tr>
      <w:tr w:rsidR="009B4428" w:rsidRPr="00C96A5A" w:rsidTr="005D277E">
        <w:trPr>
          <w:trHeight w:val="360"/>
        </w:trPr>
        <w:tc>
          <w:tcPr>
            <w:tcW w:w="388" w:type="dxa"/>
            <w:tcBorders>
              <w:top w:val="nil"/>
              <w:left w:val="nil"/>
              <w:bottom w:val="single" w:sz="4" w:space="0" w:color="FF0000"/>
              <w:right w:val="nil"/>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18.</w:t>
            </w:r>
          </w:p>
        </w:tc>
        <w:tc>
          <w:tcPr>
            <w:tcW w:w="4574" w:type="dxa"/>
            <w:tcBorders>
              <w:top w:val="nil"/>
              <w:left w:val="nil"/>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rPr>
                <w:rFonts w:ascii="Arial Narrow" w:hAnsi="Arial Narrow" w:cs="Arial"/>
                <w:b/>
                <w:bCs/>
                <w:sz w:val="16"/>
                <w:szCs w:val="16"/>
              </w:rPr>
            </w:pPr>
            <w:r w:rsidRPr="00C96A5A">
              <w:rPr>
                <w:rFonts w:ascii="Arial Narrow" w:hAnsi="Arial Narrow" w:cs="Arial"/>
                <w:b/>
                <w:bCs/>
                <w:sz w:val="16"/>
                <w:szCs w:val="16"/>
              </w:rPr>
              <w:t>Odloženi davki</w:t>
            </w:r>
          </w:p>
        </w:tc>
        <w:tc>
          <w:tcPr>
            <w:tcW w:w="1256" w:type="dxa"/>
            <w:tcBorders>
              <w:top w:val="nil"/>
              <w:left w:val="single" w:sz="4" w:space="0" w:color="A6A6A6" w:themeColor="background1" w:themeShade="A6"/>
              <w:bottom w:val="single" w:sz="4" w:space="0" w:color="FF0000"/>
              <w:right w:val="single" w:sz="4" w:space="0" w:color="A6A6A6" w:themeColor="background1" w:themeShade="A6"/>
            </w:tcBorders>
            <w:shd w:val="clear" w:color="000000" w:fill="FFFFFF"/>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-109.847</w:t>
            </w:r>
          </w:p>
        </w:tc>
        <w:tc>
          <w:tcPr>
            <w:tcW w:w="1256" w:type="dxa"/>
            <w:tcBorders>
              <w:top w:val="nil"/>
              <w:left w:val="single" w:sz="4" w:space="0" w:color="A6A6A6" w:themeColor="background1" w:themeShade="A6"/>
              <w:bottom w:val="single" w:sz="4" w:space="0" w:color="FF0000"/>
              <w:right w:val="single" w:sz="4" w:space="0" w:color="A6A6A6" w:themeColor="background1" w:themeShade="A6"/>
            </w:tcBorders>
            <w:shd w:val="clear" w:color="000000" w:fill="FFFFFF"/>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-365.000</w:t>
            </w:r>
          </w:p>
        </w:tc>
        <w:tc>
          <w:tcPr>
            <w:tcW w:w="1196" w:type="dxa"/>
            <w:tcBorders>
              <w:top w:val="nil"/>
              <w:left w:val="single" w:sz="4" w:space="0" w:color="A6A6A6" w:themeColor="background1" w:themeShade="A6"/>
              <w:bottom w:val="single" w:sz="4" w:space="0" w:color="FF0000"/>
              <w:right w:val="single" w:sz="4" w:space="0" w:color="A6A6A6" w:themeColor="background1" w:themeShade="A6"/>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0</w:t>
            </w:r>
          </w:p>
        </w:tc>
        <w:tc>
          <w:tcPr>
            <w:tcW w:w="716" w:type="dxa"/>
            <w:tcBorders>
              <w:top w:val="nil"/>
              <w:left w:val="single" w:sz="4" w:space="0" w:color="A6A6A6" w:themeColor="background1" w:themeShade="A6"/>
              <w:bottom w:val="single" w:sz="4" w:space="0" w:color="FF0000"/>
              <w:right w:val="nil"/>
            </w:tcBorders>
            <w:shd w:val="clear" w:color="auto" w:fill="auto"/>
            <w:noWrap/>
            <w:vAlign w:val="bottom"/>
            <w:hideMark/>
          </w:tcPr>
          <w:p w:rsidR="009B4428" w:rsidRPr="00C96A5A" w:rsidRDefault="009B4428" w:rsidP="005D277E">
            <w:pPr>
              <w:jc w:val="right"/>
              <w:rPr>
                <w:rFonts w:ascii="Arial Narrow" w:hAnsi="Arial Narrow" w:cs="Arial"/>
                <w:b/>
                <w:bCs/>
                <w:sz w:val="16"/>
                <w:szCs w:val="16"/>
              </w:rPr>
            </w:pPr>
            <w:r w:rsidRPr="00C96A5A">
              <w:rPr>
                <w:rFonts w:ascii="Arial Narrow" w:hAnsi="Arial Narrow" w:cs="Arial"/>
                <w:b/>
                <w:bCs/>
                <w:sz w:val="16"/>
                <w:szCs w:val="16"/>
              </w:rPr>
              <w:t>0</w:t>
            </w:r>
          </w:p>
        </w:tc>
      </w:tr>
      <w:tr w:rsidR="009B4428" w:rsidRPr="002C33D9" w:rsidTr="005D277E">
        <w:trPr>
          <w:trHeight w:val="283"/>
        </w:trPr>
        <w:tc>
          <w:tcPr>
            <w:tcW w:w="388" w:type="dxa"/>
            <w:tcBorders>
              <w:top w:val="single" w:sz="4" w:space="0" w:color="FF0000"/>
              <w:left w:val="nil"/>
              <w:bottom w:val="single" w:sz="4" w:space="0" w:color="FF0000"/>
            </w:tcBorders>
            <w:shd w:val="clear" w:color="000000" w:fill="F2F2F2" w:themeFill="background1" w:themeFillShade="F2"/>
            <w:noWrap/>
            <w:vAlign w:val="bottom"/>
            <w:hideMark/>
          </w:tcPr>
          <w:p w:rsidR="009B4428" w:rsidRPr="002C33D9" w:rsidRDefault="009B4428" w:rsidP="005D277E">
            <w:pPr>
              <w:rPr>
                <w:rFonts w:ascii="Arial Narrow" w:hAnsi="Arial Narrow" w:cs="Arial"/>
                <w:b/>
                <w:bCs/>
                <w:sz w:val="16"/>
                <w:szCs w:val="16"/>
              </w:rPr>
            </w:pPr>
            <w:r w:rsidRPr="002C33D9">
              <w:rPr>
                <w:rFonts w:ascii="Arial Narrow" w:hAnsi="Arial Narrow" w:cs="Arial"/>
                <w:b/>
                <w:bCs/>
                <w:sz w:val="16"/>
                <w:szCs w:val="16"/>
              </w:rPr>
              <w:t>19.</w:t>
            </w:r>
          </w:p>
        </w:tc>
        <w:tc>
          <w:tcPr>
            <w:tcW w:w="4574" w:type="dxa"/>
            <w:tcBorders>
              <w:top w:val="single" w:sz="4" w:space="0" w:color="FF0000"/>
              <w:bottom w:val="single" w:sz="4" w:space="0" w:color="FF0000"/>
              <w:right w:val="single" w:sz="4" w:space="0" w:color="A6A6A6" w:themeColor="background1" w:themeShade="A6"/>
            </w:tcBorders>
            <w:shd w:val="clear" w:color="000000" w:fill="F2F2F2" w:themeFill="background1" w:themeFillShade="F2"/>
            <w:noWrap/>
            <w:vAlign w:val="bottom"/>
            <w:hideMark/>
          </w:tcPr>
          <w:p w:rsidR="009B4428" w:rsidRPr="002C33D9" w:rsidRDefault="009B4428" w:rsidP="005D277E">
            <w:pPr>
              <w:rPr>
                <w:rFonts w:ascii="Arial Narrow" w:hAnsi="Arial Narrow" w:cs="Arial"/>
                <w:b/>
                <w:bCs/>
                <w:sz w:val="16"/>
                <w:szCs w:val="16"/>
              </w:rPr>
            </w:pPr>
            <w:r w:rsidRPr="002C33D9">
              <w:rPr>
                <w:rFonts w:ascii="Arial Narrow" w:hAnsi="Arial Narrow" w:cs="Arial"/>
                <w:b/>
                <w:bCs/>
                <w:sz w:val="16"/>
                <w:szCs w:val="16"/>
              </w:rPr>
              <w:t>Čisti poslovni izid obračunskega obdobja</w:t>
            </w:r>
          </w:p>
        </w:tc>
        <w:tc>
          <w:tcPr>
            <w:tcW w:w="1256" w:type="dxa"/>
            <w:tcBorders>
              <w:top w:val="single" w:sz="4" w:space="0" w:color="FF0000"/>
              <w:left w:val="single" w:sz="4" w:space="0" w:color="A6A6A6" w:themeColor="background1" w:themeShade="A6"/>
              <w:bottom w:val="single" w:sz="4" w:space="0" w:color="FF0000"/>
              <w:right w:val="single" w:sz="4" w:space="0" w:color="A6A6A6" w:themeColor="background1" w:themeShade="A6"/>
            </w:tcBorders>
            <w:shd w:val="clear" w:color="000000"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13.932.441</w:t>
            </w:r>
          </w:p>
        </w:tc>
        <w:tc>
          <w:tcPr>
            <w:tcW w:w="1256" w:type="dxa"/>
            <w:tcBorders>
              <w:top w:val="single" w:sz="4" w:space="0" w:color="FF0000"/>
              <w:left w:val="single" w:sz="4" w:space="0" w:color="A6A6A6" w:themeColor="background1" w:themeShade="A6"/>
              <w:bottom w:val="single" w:sz="4" w:space="0" w:color="FF0000"/>
              <w:right w:val="single" w:sz="4" w:space="0" w:color="A6A6A6" w:themeColor="background1" w:themeShade="A6"/>
            </w:tcBorders>
            <w:shd w:val="clear" w:color="000000"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7.004.466</w:t>
            </w:r>
          </w:p>
        </w:tc>
        <w:tc>
          <w:tcPr>
            <w:tcW w:w="1196" w:type="dxa"/>
            <w:tcBorders>
              <w:top w:val="single" w:sz="4" w:space="0" w:color="FF0000"/>
              <w:left w:val="single" w:sz="4" w:space="0" w:color="A6A6A6" w:themeColor="background1" w:themeShade="A6"/>
              <w:bottom w:val="single" w:sz="4" w:space="0" w:color="FF0000"/>
              <w:right w:val="single" w:sz="4" w:space="0" w:color="A6A6A6" w:themeColor="background1" w:themeShade="A6"/>
            </w:tcBorders>
            <w:shd w:val="clear" w:color="000000"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3.906.967</w:t>
            </w:r>
          </w:p>
        </w:tc>
        <w:tc>
          <w:tcPr>
            <w:tcW w:w="716" w:type="dxa"/>
            <w:tcBorders>
              <w:top w:val="single" w:sz="4" w:space="0" w:color="FF0000"/>
              <w:left w:val="single" w:sz="4" w:space="0" w:color="A6A6A6" w:themeColor="background1" w:themeShade="A6"/>
              <w:bottom w:val="single" w:sz="4" w:space="0" w:color="FF0000"/>
              <w:right w:val="nil"/>
            </w:tcBorders>
            <w:shd w:val="clear" w:color="000000" w:fill="F2F2F2" w:themeFill="background1" w:themeFillShade="F2"/>
            <w:noWrap/>
            <w:vAlign w:val="bottom"/>
            <w:hideMark/>
          </w:tcPr>
          <w:p w:rsidR="009B4428" w:rsidRPr="002C33D9" w:rsidRDefault="009B4428" w:rsidP="005D277E">
            <w:pPr>
              <w:jc w:val="right"/>
              <w:rPr>
                <w:rFonts w:ascii="Arial Narrow" w:hAnsi="Arial Narrow" w:cs="Arial"/>
                <w:b/>
                <w:bCs/>
                <w:sz w:val="16"/>
                <w:szCs w:val="16"/>
              </w:rPr>
            </w:pPr>
            <w:r w:rsidRPr="002C33D9">
              <w:rPr>
                <w:rFonts w:ascii="Arial Narrow" w:hAnsi="Arial Narrow" w:cs="Arial"/>
                <w:b/>
                <w:bCs/>
                <w:sz w:val="16"/>
                <w:szCs w:val="16"/>
              </w:rPr>
              <w:t>56</w:t>
            </w:r>
          </w:p>
        </w:tc>
      </w:tr>
    </w:tbl>
    <w:p w:rsidR="000A7C17" w:rsidRPr="000A7C17" w:rsidRDefault="000A7C17" w:rsidP="00356B5D">
      <w:pPr>
        <w:rPr>
          <w:b/>
          <w:color w:val="FF0000"/>
          <w:sz w:val="28"/>
          <w:szCs w:val="28"/>
          <w:u w:val="single"/>
          <w14:shadow w14:blurRad="50800" w14:dist="38100" w14:dir="2700000" w14:sx="100000" w14:sy="100000" w14:kx="0" w14:ky="0" w14:algn="tl">
            <w14:srgbClr w14:val="000000">
              <w14:alpha w14:val="60000"/>
            </w14:srgbClr>
          </w14:shadow>
        </w:rPr>
      </w:pPr>
    </w:p>
    <w:p w:rsidR="00A0028F" w:rsidRPr="007A1949" w:rsidRDefault="007A1949" w:rsidP="00356B5D">
      <w:pPr>
        <w:rPr>
          <w:b/>
          <w:color w:val="FF0000"/>
          <w:sz w:val="28"/>
          <w:szCs w:val="28"/>
        </w:rPr>
      </w:pPr>
      <w:r w:rsidRPr="007A1949">
        <w:rPr>
          <w:b/>
          <w:color w:val="FF0000"/>
          <w:sz w:val="28"/>
          <w:szCs w:val="28"/>
        </w:rPr>
        <w:lastRenderedPageBreak/>
        <w:t>Načrtovana b</w:t>
      </w:r>
      <w:r w:rsidR="00356B5D" w:rsidRPr="007A1949">
        <w:rPr>
          <w:b/>
          <w:color w:val="FF0000"/>
          <w:sz w:val="28"/>
          <w:szCs w:val="28"/>
        </w:rPr>
        <w:t>ilanca stanja</w:t>
      </w:r>
    </w:p>
    <w:p w:rsidR="00607B53" w:rsidRPr="007A1949" w:rsidRDefault="00607B53" w:rsidP="00356B5D">
      <w:pPr>
        <w:rPr>
          <w:b/>
          <w:color w:val="FF0000"/>
          <w:sz w:val="16"/>
          <w:szCs w:val="16"/>
          <w:u w:val="single"/>
        </w:rPr>
      </w:pPr>
    </w:p>
    <w:p w:rsidR="00356B5D" w:rsidRPr="000A7C17" w:rsidRDefault="00607B53" w:rsidP="00607B53">
      <w:pPr>
        <w:jc w:val="right"/>
        <w:rPr>
          <w:sz w:val="16"/>
          <w:szCs w:val="16"/>
        </w:rPr>
      </w:pPr>
      <w:r w:rsidRPr="000A7C17">
        <w:rPr>
          <w:sz w:val="16"/>
          <w:szCs w:val="16"/>
        </w:rPr>
        <w:t>v €</w:t>
      </w:r>
    </w:p>
    <w:tbl>
      <w:tblPr>
        <w:tblW w:w="9435" w:type="dxa"/>
        <w:tblInd w:w="55" w:type="dxa"/>
        <w:tblCellMar>
          <w:left w:w="70" w:type="dxa"/>
          <w:right w:w="70" w:type="dxa"/>
        </w:tblCellMar>
        <w:tblLook w:val="04A0" w:firstRow="1" w:lastRow="0" w:firstColumn="1" w:lastColumn="0" w:noHBand="0" w:noVBand="1"/>
      </w:tblPr>
      <w:tblGrid>
        <w:gridCol w:w="420"/>
        <w:gridCol w:w="5265"/>
        <w:gridCol w:w="1440"/>
        <w:gridCol w:w="1440"/>
        <w:gridCol w:w="870"/>
      </w:tblGrid>
      <w:tr w:rsidR="009B4428" w:rsidRPr="00F95345" w:rsidTr="009B4428">
        <w:trPr>
          <w:trHeight w:val="270"/>
        </w:trPr>
        <w:tc>
          <w:tcPr>
            <w:tcW w:w="420"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1440" w:type="dxa"/>
            <w:tcBorders>
              <w:top w:val="single" w:sz="4" w:space="0" w:color="FF0000"/>
              <w:left w:val="nil"/>
              <w:bottom w:val="nil"/>
              <w:right w:val="single" w:sz="4" w:space="0" w:color="BFBFBF"/>
            </w:tcBorders>
            <w:shd w:val="clear" w:color="auto" w:fill="auto"/>
            <w:noWrap/>
            <w:vAlign w:val="bottom"/>
            <w:hideMark/>
          </w:tcPr>
          <w:p w:rsidR="009B4428" w:rsidRPr="00F95345" w:rsidRDefault="009B4428" w:rsidP="005D277E">
            <w:pPr>
              <w:jc w:val="center"/>
              <w:rPr>
                <w:rFonts w:ascii="Arial Narrow" w:hAnsi="Arial Narrow"/>
                <w:b/>
                <w:bCs/>
                <w:sz w:val="18"/>
                <w:szCs w:val="18"/>
              </w:rPr>
            </w:pPr>
            <w:r w:rsidRPr="00F95345">
              <w:rPr>
                <w:rFonts w:ascii="Arial Narrow" w:hAnsi="Arial Narrow"/>
                <w:b/>
                <w:bCs/>
                <w:sz w:val="18"/>
                <w:szCs w:val="18"/>
              </w:rPr>
              <w:t>ocena</w:t>
            </w:r>
          </w:p>
        </w:tc>
        <w:tc>
          <w:tcPr>
            <w:tcW w:w="1440" w:type="dxa"/>
            <w:tcBorders>
              <w:top w:val="single" w:sz="4" w:space="0" w:color="FF0000"/>
              <w:left w:val="single" w:sz="4" w:space="0" w:color="BFBFBF"/>
              <w:bottom w:val="nil"/>
              <w:right w:val="single" w:sz="4" w:space="0" w:color="BFBFBF"/>
            </w:tcBorders>
            <w:shd w:val="clear" w:color="auto" w:fill="auto"/>
            <w:noWrap/>
            <w:vAlign w:val="bottom"/>
            <w:hideMark/>
          </w:tcPr>
          <w:p w:rsidR="009B4428" w:rsidRPr="00F95345" w:rsidRDefault="009B4428" w:rsidP="005D277E">
            <w:pPr>
              <w:jc w:val="center"/>
              <w:rPr>
                <w:rFonts w:ascii="Arial Narrow" w:hAnsi="Arial Narrow"/>
                <w:b/>
                <w:bCs/>
                <w:sz w:val="18"/>
                <w:szCs w:val="18"/>
              </w:rPr>
            </w:pPr>
            <w:r w:rsidRPr="00F95345">
              <w:rPr>
                <w:rFonts w:ascii="Arial Narrow" w:hAnsi="Arial Narrow"/>
                <w:b/>
                <w:bCs/>
                <w:sz w:val="18"/>
                <w:szCs w:val="18"/>
              </w:rPr>
              <w:t>plan</w:t>
            </w:r>
          </w:p>
        </w:tc>
        <w:tc>
          <w:tcPr>
            <w:tcW w:w="870" w:type="dxa"/>
            <w:tcBorders>
              <w:top w:val="single" w:sz="4" w:space="0" w:color="FF0000"/>
              <w:left w:val="single" w:sz="4" w:space="0" w:color="BFBFBF"/>
              <w:bottom w:val="nil"/>
              <w:right w:val="nil"/>
            </w:tcBorders>
            <w:shd w:val="clear" w:color="auto" w:fill="auto"/>
            <w:noWrap/>
            <w:vAlign w:val="bottom"/>
            <w:hideMark/>
          </w:tcPr>
          <w:p w:rsidR="009B4428" w:rsidRPr="00F95345" w:rsidRDefault="009B4428" w:rsidP="005D277E">
            <w:pPr>
              <w:jc w:val="center"/>
              <w:rPr>
                <w:rFonts w:ascii="Arial Narrow" w:hAnsi="Arial Narrow"/>
                <w:sz w:val="18"/>
                <w:szCs w:val="18"/>
              </w:rPr>
            </w:pPr>
            <w:r w:rsidRPr="00F95345">
              <w:rPr>
                <w:rFonts w:ascii="Arial Narrow" w:hAnsi="Arial Narrow"/>
                <w:sz w:val="18"/>
                <w:szCs w:val="18"/>
              </w:rPr>
              <w:t>Indeks</w:t>
            </w:r>
          </w:p>
        </w:tc>
      </w:tr>
      <w:tr w:rsidR="009B4428" w:rsidRPr="00F95345" w:rsidTr="009B4428">
        <w:trPr>
          <w:trHeight w:val="270"/>
        </w:trPr>
        <w:tc>
          <w:tcPr>
            <w:tcW w:w="420"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 </w:t>
            </w:r>
          </w:p>
        </w:tc>
        <w:tc>
          <w:tcPr>
            <w:tcW w:w="5265"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 </w:t>
            </w:r>
          </w:p>
        </w:tc>
        <w:tc>
          <w:tcPr>
            <w:tcW w:w="1440" w:type="dxa"/>
            <w:tcBorders>
              <w:top w:val="nil"/>
              <w:left w:val="nil"/>
              <w:bottom w:val="single" w:sz="4" w:space="0" w:color="FF0000"/>
              <w:right w:val="single" w:sz="4" w:space="0" w:color="BFBFBF"/>
            </w:tcBorders>
            <w:shd w:val="clear" w:color="auto" w:fill="auto"/>
            <w:noWrap/>
            <w:vAlign w:val="bottom"/>
            <w:hideMark/>
          </w:tcPr>
          <w:p w:rsidR="009B4428" w:rsidRPr="00F95345" w:rsidRDefault="009B4428" w:rsidP="005D277E">
            <w:pPr>
              <w:jc w:val="center"/>
              <w:rPr>
                <w:rFonts w:ascii="Arial Narrow" w:hAnsi="Arial Narrow"/>
                <w:b/>
                <w:bCs/>
                <w:sz w:val="18"/>
                <w:szCs w:val="18"/>
              </w:rPr>
            </w:pPr>
            <w:r w:rsidRPr="00F95345">
              <w:rPr>
                <w:rFonts w:ascii="Arial Narrow" w:hAnsi="Arial Narrow"/>
                <w:b/>
                <w:bCs/>
                <w:sz w:val="18"/>
                <w:szCs w:val="18"/>
              </w:rPr>
              <w:t>31.12.2015</w:t>
            </w:r>
          </w:p>
        </w:tc>
        <w:tc>
          <w:tcPr>
            <w:tcW w:w="1440" w:type="dxa"/>
            <w:tcBorders>
              <w:top w:val="nil"/>
              <w:left w:val="single" w:sz="4" w:space="0" w:color="BFBFBF"/>
              <w:bottom w:val="single" w:sz="4" w:space="0" w:color="FF0000"/>
              <w:right w:val="single" w:sz="4" w:space="0" w:color="BFBFBF"/>
            </w:tcBorders>
            <w:shd w:val="clear" w:color="auto" w:fill="auto"/>
            <w:noWrap/>
            <w:vAlign w:val="bottom"/>
            <w:hideMark/>
          </w:tcPr>
          <w:p w:rsidR="009B4428" w:rsidRPr="00F95345" w:rsidRDefault="009B4428" w:rsidP="005D277E">
            <w:pPr>
              <w:jc w:val="center"/>
              <w:rPr>
                <w:rFonts w:ascii="Arial Narrow" w:hAnsi="Arial Narrow"/>
                <w:b/>
                <w:bCs/>
                <w:sz w:val="18"/>
                <w:szCs w:val="18"/>
              </w:rPr>
            </w:pPr>
            <w:r w:rsidRPr="00F95345">
              <w:rPr>
                <w:rFonts w:ascii="Arial Narrow" w:hAnsi="Arial Narrow"/>
                <w:b/>
                <w:bCs/>
                <w:sz w:val="18"/>
                <w:szCs w:val="18"/>
              </w:rPr>
              <w:t>31.12.2016</w:t>
            </w:r>
          </w:p>
        </w:tc>
        <w:tc>
          <w:tcPr>
            <w:tcW w:w="870" w:type="dxa"/>
            <w:tcBorders>
              <w:top w:val="nil"/>
              <w:left w:val="single" w:sz="4" w:space="0" w:color="BFBFBF"/>
              <w:bottom w:val="single" w:sz="4" w:space="0" w:color="FF0000"/>
              <w:right w:val="nil"/>
            </w:tcBorders>
            <w:shd w:val="clear" w:color="auto" w:fill="auto"/>
            <w:noWrap/>
            <w:vAlign w:val="bottom"/>
            <w:hideMark/>
          </w:tcPr>
          <w:p w:rsidR="009B4428" w:rsidRPr="00F95345" w:rsidRDefault="009B4428" w:rsidP="005D277E">
            <w:pPr>
              <w:jc w:val="center"/>
              <w:rPr>
                <w:rFonts w:ascii="Arial Narrow" w:hAnsi="Arial Narrow"/>
                <w:sz w:val="18"/>
                <w:szCs w:val="18"/>
              </w:rPr>
            </w:pPr>
            <w:r w:rsidRPr="00F95345">
              <w:rPr>
                <w:rFonts w:ascii="Arial Narrow" w:hAnsi="Arial Narrow"/>
                <w:sz w:val="18"/>
                <w:szCs w:val="18"/>
              </w:rPr>
              <w:t>Pl16/oc15</w:t>
            </w:r>
          </w:p>
        </w:tc>
      </w:tr>
      <w:tr w:rsidR="009B4428" w:rsidRPr="00F95345" w:rsidTr="009B4428">
        <w:trPr>
          <w:trHeight w:val="113"/>
        </w:trPr>
        <w:tc>
          <w:tcPr>
            <w:tcW w:w="420"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1440" w:type="dxa"/>
            <w:tcBorders>
              <w:top w:val="single" w:sz="4" w:space="0" w:color="FF0000"/>
              <w:left w:val="nil"/>
              <w:bottom w:val="nil"/>
              <w:right w:val="single" w:sz="4" w:space="0" w:color="BFBFBF"/>
            </w:tcBorders>
            <w:shd w:val="clear" w:color="auto" w:fill="auto"/>
            <w:noWrap/>
            <w:vAlign w:val="bottom"/>
            <w:hideMark/>
          </w:tcPr>
          <w:p w:rsidR="009B4428" w:rsidRPr="00F95345" w:rsidRDefault="009B4428" w:rsidP="005D277E">
            <w:pPr>
              <w:rPr>
                <w:rFonts w:ascii="Arial Narrow" w:hAnsi="Arial Narrow"/>
                <w:sz w:val="18"/>
                <w:szCs w:val="18"/>
              </w:rPr>
            </w:pPr>
          </w:p>
        </w:tc>
        <w:tc>
          <w:tcPr>
            <w:tcW w:w="1440" w:type="dxa"/>
            <w:tcBorders>
              <w:top w:val="single" w:sz="4" w:space="0" w:color="FF0000"/>
              <w:left w:val="single" w:sz="4" w:space="0" w:color="BFBFBF"/>
              <w:bottom w:val="nil"/>
              <w:right w:val="single" w:sz="4" w:space="0" w:color="BFBFBF"/>
            </w:tcBorders>
            <w:shd w:val="clear" w:color="auto" w:fill="auto"/>
            <w:noWrap/>
            <w:vAlign w:val="bottom"/>
            <w:hideMark/>
          </w:tcPr>
          <w:p w:rsidR="009B4428" w:rsidRPr="00F95345" w:rsidRDefault="009B4428" w:rsidP="005D277E">
            <w:pPr>
              <w:rPr>
                <w:rFonts w:ascii="Arial Narrow" w:hAnsi="Arial Narrow"/>
                <w:sz w:val="18"/>
                <w:szCs w:val="18"/>
              </w:rPr>
            </w:pPr>
          </w:p>
        </w:tc>
        <w:tc>
          <w:tcPr>
            <w:tcW w:w="870" w:type="dxa"/>
            <w:tcBorders>
              <w:top w:val="single" w:sz="4" w:space="0" w:color="FF0000"/>
              <w:left w:val="single" w:sz="4" w:space="0" w:color="BFBFBF"/>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r>
      <w:tr w:rsidR="009B4428" w:rsidRPr="00F95345" w:rsidTr="009B4428">
        <w:trPr>
          <w:trHeight w:val="33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color w:val="FF0000"/>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b/>
                <w:bCs/>
                <w:color w:val="FF0000"/>
              </w:rPr>
            </w:pPr>
            <w:r w:rsidRPr="00F95345">
              <w:rPr>
                <w:rFonts w:ascii="Arial Narrow" w:hAnsi="Arial Narrow"/>
                <w:b/>
                <w:bCs/>
                <w:color w:val="FF0000"/>
              </w:rPr>
              <w:t>SREDSTVA</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b/>
                <w:bCs/>
                <w:color w:val="FF0000"/>
              </w:rPr>
            </w:pPr>
            <w:r w:rsidRPr="00F95345">
              <w:rPr>
                <w:rFonts w:ascii="Arial Narrow" w:hAnsi="Arial Narrow"/>
                <w:b/>
                <w:bCs/>
                <w:color w:val="FF0000"/>
              </w:rPr>
              <w:t>181.001.532</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b/>
                <w:bCs/>
                <w:color w:val="FF0000"/>
              </w:rPr>
            </w:pPr>
            <w:r w:rsidRPr="00F95345">
              <w:rPr>
                <w:rFonts w:ascii="Arial Narrow" w:hAnsi="Arial Narrow"/>
                <w:b/>
                <w:bCs/>
                <w:color w:val="FF0000"/>
              </w:rPr>
              <w:t>174.888.257</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b/>
                <w:bCs/>
                <w:color w:val="FF0000"/>
              </w:rPr>
            </w:pPr>
            <w:r w:rsidRPr="00F95345">
              <w:rPr>
                <w:rFonts w:ascii="Arial Narrow" w:hAnsi="Arial Narrow"/>
                <w:b/>
                <w:bCs/>
                <w:color w:val="FF0000"/>
              </w:rPr>
              <w:t>97</w:t>
            </w:r>
          </w:p>
        </w:tc>
      </w:tr>
      <w:tr w:rsidR="009B4428" w:rsidRPr="00F95345" w:rsidTr="009B4428">
        <w:trPr>
          <w:trHeight w:val="170"/>
        </w:trPr>
        <w:tc>
          <w:tcPr>
            <w:tcW w:w="420"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1440" w:type="dxa"/>
            <w:tcBorders>
              <w:top w:val="nil"/>
              <w:left w:val="nil"/>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p>
        </w:tc>
        <w:tc>
          <w:tcPr>
            <w:tcW w:w="1440" w:type="dxa"/>
            <w:tcBorders>
              <w:top w:val="nil"/>
              <w:left w:val="single" w:sz="4" w:space="0" w:color="BFBFBF"/>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p>
        </w:tc>
        <w:tc>
          <w:tcPr>
            <w:tcW w:w="870" w:type="dxa"/>
            <w:tcBorders>
              <w:top w:val="nil"/>
              <w:left w:val="single" w:sz="4" w:space="0" w:color="BFBFBF"/>
              <w:bottom w:val="single" w:sz="4" w:space="0" w:color="FF0000"/>
              <w:right w:val="nil"/>
            </w:tcBorders>
            <w:shd w:val="clear" w:color="auto" w:fill="auto"/>
            <w:noWrap/>
            <w:vAlign w:val="bottom"/>
          </w:tcPr>
          <w:p w:rsidR="009B4428" w:rsidRPr="00F95345" w:rsidRDefault="009B4428" w:rsidP="005D277E">
            <w:pPr>
              <w:jc w:val="right"/>
              <w:rPr>
                <w:rFonts w:ascii="Arial Narrow" w:hAnsi="Arial Narrow"/>
                <w:sz w:val="18"/>
                <w:szCs w:val="18"/>
              </w:rPr>
            </w:pPr>
          </w:p>
        </w:tc>
      </w:tr>
      <w:tr w:rsidR="009B4428" w:rsidRPr="00F95345" w:rsidTr="009B4428">
        <w:trPr>
          <w:trHeight w:val="340"/>
        </w:trPr>
        <w:tc>
          <w:tcPr>
            <w:tcW w:w="420"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A.</w:t>
            </w:r>
          </w:p>
        </w:tc>
        <w:tc>
          <w:tcPr>
            <w:tcW w:w="5265"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Dolgoročna sredstva</w:t>
            </w:r>
          </w:p>
        </w:tc>
        <w:tc>
          <w:tcPr>
            <w:tcW w:w="1440" w:type="dxa"/>
            <w:tcBorders>
              <w:top w:val="single" w:sz="4" w:space="0" w:color="FF0000"/>
              <w:left w:val="nil"/>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102.108.572</w:t>
            </w:r>
          </w:p>
        </w:tc>
        <w:tc>
          <w:tcPr>
            <w:tcW w:w="1440" w:type="dxa"/>
            <w:tcBorders>
              <w:top w:val="single" w:sz="4" w:space="0" w:color="FF0000"/>
              <w:left w:val="single" w:sz="4" w:space="0" w:color="BFBFBF"/>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100.725.945</w:t>
            </w:r>
          </w:p>
        </w:tc>
        <w:tc>
          <w:tcPr>
            <w:tcW w:w="870" w:type="dxa"/>
            <w:tcBorders>
              <w:top w:val="single" w:sz="4" w:space="0" w:color="FF0000"/>
              <w:left w:val="single" w:sz="4" w:space="0" w:color="BFBFBF"/>
              <w:bottom w:val="single" w:sz="4" w:space="0" w:color="FF0000"/>
              <w:right w:val="nil"/>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99</w:t>
            </w:r>
          </w:p>
        </w:tc>
      </w:tr>
      <w:tr w:rsidR="009B4428" w:rsidRPr="00F95345" w:rsidTr="009B4428">
        <w:trPr>
          <w:trHeight w:val="340"/>
        </w:trPr>
        <w:tc>
          <w:tcPr>
            <w:tcW w:w="420"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w:t>
            </w:r>
          </w:p>
        </w:tc>
        <w:tc>
          <w:tcPr>
            <w:tcW w:w="5265"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Neopredmetena sredstva in dolgoročne AČR</w:t>
            </w:r>
          </w:p>
        </w:tc>
        <w:tc>
          <w:tcPr>
            <w:tcW w:w="1440" w:type="dxa"/>
            <w:tcBorders>
              <w:top w:val="single" w:sz="4" w:space="0" w:color="FF0000"/>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2.542.316</w:t>
            </w:r>
          </w:p>
        </w:tc>
        <w:tc>
          <w:tcPr>
            <w:tcW w:w="1440" w:type="dxa"/>
            <w:tcBorders>
              <w:top w:val="single" w:sz="4" w:space="0" w:color="FF0000"/>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2.298.819</w:t>
            </w:r>
          </w:p>
        </w:tc>
        <w:tc>
          <w:tcPr>
            <w:tcW w:w="870" w:type="dxa"/>
            <w:tcBorders>
              <w:top w:val="single" w:sz="4" w:space="0" w:color="FF0000"/>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90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1.   Dolgoročne premoženjske pravice</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2.123.262</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2.267.162</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107</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4.   Dolgoročno odloženi stroški razvijanja</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5.   Druge dolgoročne aktivne časovne razmejitve</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419.054</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31.657</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8</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II.</w:t>
            </w: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Opredmetena osnovna sredstva</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96.388.352</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95.250.021</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99</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1a. Zemljišča</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8.651.600</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8.851.600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102</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1b. Zgradbe</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41.988.166</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40.159.298</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96</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 xml:space="preserve">2.   Proizvajalne naprave in stroji </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42.647.670</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35.352.199</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83</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3.   Druge naprave in oprema</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36.099</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35.863</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99</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4a. Opredmetena osnovna sredstva v gradnji in izdelavi</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3.064.817</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10.851.061</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354</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4b. Predujmi za pridobitev opredmetenih osnovnih sredstev</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IV.</w:t>
            </w: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Dolgoročne finančne naložbe</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1.192.162</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1.191.363</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1c. Druge delnice in deleži</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1.191.363</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1.191.363</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2b. Dolgoročna posojila drugim</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799</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w:t>
            </w:r>
          </w:p>
        </w:tc>
      </w:tr>
      <w:tr w:rsidR="009B4428" w:rsidRPr="00F95345" w:rsidTr="009B4428">
        <w:trPr>
          <w:trHeight w:val="340"/>
        </w:trPr>
        <w:tc>
          <w:tcPr>
            <w:tcW w:w="420"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VI.</w:t>
            </w:r>
          </w:p>
        </w:tc>
        <w:tc>
          <w:tcPr>
            <w:tcW w:w="5265"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Odložene terjatve za davek</w:t>
            </w:r>
          </w:p>
        </w:tc>
        <w:tc>
          <w:tcPr>
            <w:tcW w:w="1440" w:type="dxa"/>
            <w:tcBorders>
              <w:top w:val="nil"/>
              <w:left w:val="nil"/>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1.985.742</w:t>
            </w:r>
          </w:p>
        </w:tc>
        <w:tc>
          <w:tcPr>
            <w:tcW w:w="1440" w:type="dxa"/>
            <w:tcBorders>
              <w:top w:val="nil"/>
              <w:left w:val="single" w:sz="4" w:space="0" w:color="BFBFBF"/>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1.985.742</w:t>
            </w:r>
          </w:p>
        </w:tc>
        <w:tc>
          <w:tcPr>
            <w:tcW w:w="870" w:type="dxa"/>
            <w:tcBorders>
              <w:top w:val="nil"/>
              <w:left w:val="single" w:sz="4" w:space="0" w:color="BFBFBF"/>
              <w:bottom w:val="single" w:sz="4" w:space="0" w:color="FF0000"/>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B.</w:t>
            </w:r>
          </w:p>
        </w:tc>
        <w:tc>
          <w:tcPr>
            <w:tcW w:w="5265"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Kratkoročna sredstva</w:t>
            </w:r>
          </w:p>
        </w:tc>
        <w:tc>
          <w:tcPr>
            <w:tcW w:w="1440" w:type="dxa"/>
            <w:tcBorders>
              <w:top w:val="single" w:sz="4" w:space="0" w:color="FF0000"/>
              <w:left w:val="nil"/>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78.312.960</w:t>
            </w:r>
          </w:p>
        </w:tc>
        <w:tc>
          <w:tcPr>
            <w:tcW w:w="1440" w:type="dxa"/>
            <w:tcBorders>
              <w:top w:val="single" w:sz="4" w:space="0" w:color="FF0000"/>
              <w:left w:val="single" w:sz="4" w:space="0" w:color="BFBFBF"/>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73.612.312</w:t>
            </w:r>
          </w:p>
        </w:tc>
        <w:tc>
          <w:tcPr>
            <w:tcW w:w="870" w:type="dxa"/>
            <w:tcBorders>
              <w:top w:val="single" w:sz="4" w:space="0" w:color="FF0000"/>
              <w:left w:val="single" w:sz="4" w:space="0" w:color="BFBFBF"/>
              <w:bottom w:val="single" w:sz="4" w:space="0" w:color="FF0000"/>
              <w:right w:val="nil"/>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94</w:t>
            </w:r>
          </w:p>
        </w:tc>
      </w:tr>
      <w:tr w:rsidR="009B4428" w:rsidRPr="00F95345" w:rsidTr="009B4428">
        <w:trPr>
          <w:trHeight w:val="340"/>
        </w:trPr>
        <w:tc>
          <w:tcPr>
            <w:tcW w:w="420"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II.</w:t>
            </w:r>
          </w:p>
        </w:tc>
        <w:tc>
          <w:tcPr>
            <w:tcW w:w="5265"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Zaloge</w:t>
            </w:r>
          </w:p>
        </w:tc>
        <w:tc>
          <w:tcPr>
            <w:tcW w:w="1440" w:type="dxa"/>
            <w:tcBorders>
              <w:top w:val="single" w:sz="4" w:space="0" w:color="FF0000"/>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40.617.747</w:t>
            </w:r>
          </w:p>
        </w:tc>
        <w:tc>
          <w:tcPr>
            <w:tcW w:w="1440" w:type="dxa"/>
            <w:tcBorders>
              <w:top w:val="single" w:sz="4" w:space="0" w:color="FF0000"/>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35.347.747</w:t>
            </w:r>
          </w:p>
        </w:tc>
        <w:tc>
          <w:tcPr>
            <w:tcW w:w="870" w:type="dxa"/>
            <w:tcBorders>
              <w:top w:val="single" w:sz="4" w:space="0" w:color="FF0000"/>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87</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1.   Material</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22.256.389</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16.986.389</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76</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2.   Nedokončana proizvodnja</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2.068.194</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2.068.194</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3.   Proizvodi in trgovsko blago</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16.293.164</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16.293.164</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4.   Predujmi za zaloge</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III.</w:t>
            </w: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Kratkoročne finančne naložbe</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735</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 xml:space="preserve">2b.  </w:t>
            </w:r>
            <w:proofErr w:type="spellStart"/>
            <w:r w:rsidRPr="00F95345">
              <w:rPr>
                <w:rFonts w:ascii="Arial Narrow" w:hAnsi="Arial Narrow"/>
                <w:sz w:val="18"/>
                <w:szCs w:val="18"/>
              </w:rPr>
              <w:t>Kratoročna</w:t>
            </w:r>
            <w:proofErr w:type="spellEnd"/>
            <w:r w:rsidRPr="00F95345">
              <w:rPr>
                <w:rFonts w:ascii="Arial Narrow" w:hAnsi="Arial Narrow"/>
                <w:sz w:val="18"/>
                <w:szCs w:val="18"/>
              </w:rPr>
              <w:t xml:space="preserve"> posojila drugim</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735</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IV.</w:t>
            </w: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 xml:space="preserve">Kratkoročne poslovne terjatve </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26.966.485</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25.187.593</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93</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2.   Kratkoročne poslovne terjatve do kupcev</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24.500.000</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24.029.500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98</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3.   Kratkoročne poslovne terjatve do drugih</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2.466.485</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1.158.093</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47</w:t>
            </w:r>
          </w:p>
        </w:tc>
      </w:tr>
      <w:tr w:rsidR="009B4428" w:rsidRPr="00F95345" w:rsidTr="009B4428">
        <w:trPr>
          <w:trHeight w:val="340"/>
        </w:trPr>
        <w:tc>
          <w:tcPr>
            <w:tcW w:w="420"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V.</w:t>
            </w:r>
          </w:p>
        </w:tc>
        <w:tc>
          <w:tcPr>
            <w:tcW w:w="5265"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Denarna sredstva</w:t>
            </w:r>
          </w:p>
        </w:tc>
        <w:tc>
          <w:tcPr>
            <w:tcW w:w="1440" w:type="dxa"/>
            <w:tcBorders>
              <w:top w:val="nil"/>
              <w:left w:val="nil"/>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10.727.993</w:t>
            </w:r>
          </w:p>
        </w:tc>
        <w:tc>
          <w:tcPr>
            <w:tcW w:w="1440" w:type="dxa"/>
            <w:tcBorders>
              <w:top w:val="nil"/>
              <w:left w:val="single" w:sz="4" w:space="0" w:color="BFBFBF"/>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13.076.972</w:t>
            </w:r>
          </w:p>
        </w:tc>
        <w:tc>
          <w:tcPr>
            <w:tcW w:w="870" w:type="dxa"/>
            <w:tcBorders>
              <w:top w:val="nil"/>
              <w:left w:val="single" w:sz="4" w:space="0" w:color="BFBFBF"/>
              <w:bottom w:val="single" w:sz="4" w:space="0" w:color="FF0000"/>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122</w:t>
            </w:r>
          </w:p>
        </w:tc>
      </w:tr>
      <w:tr w:rsidR="009B4428" w:rsidRPr="00F95345" w:rsidTr="009B4428">
        <w:trPr>
          <w:trHeight w:val="340"/>
        </w:trPr>
        <w:tc>
          <w:tcPr>
            <w:tcW w:w="420"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C.</w:t>
            </w:r>
          </w:p>
        </w:tc>
        <w:tc>
          <w:tcPr>
            <w:tcW w:w="5265"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Kratkoročne aktivne časovne razmejitve</w:t>
            </w:r>
          </w:p>
        </w:tc>
        <w:tc>
          <w:tcPr>
            <w:tcW w:w="1440" w:type="dxa"/>
            <w:tcBorders>
              <w:top w:val="single" w:sz="4" w:space="0" w:color="FF0000"/>
              <w:left w:val="nil"/>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580.000</w:t>
            </w:r>
          </w:p>
        </w:tc>
        <w:tc>
          <w:tcPr>
            <w:tcW w:w="1440" w:type="dxa"/>
            <w:tcBorders>
              <w:top w:val="single" w:sz="4" w:space="0" w:color="FF0000"/>
              <w:left w:val="single" w:sz="4" w:space="0" w:color="BFBFBF"/>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550.000</w:t>
            </w:r>
          </w:p>
        </w:tc>
        <w:tc>
          <w:tcPr>
            <w:tcW w:w="870" w:type="dxa"/>
            <w:tcBorders>
              <w:top w:val="single" w:sz="4" w:space="0" w:color="FF0000"/>
              <w:left w:val="single" w:sz="4" w:space="0" w:color="BFBFBF"/>
              <w:bottom w:val="single" w:sz="4" w:space="0" w:color="FF0000"/>
              <w:right w:val="nil"/>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95</w:t>
            </w:r>
          </w:p>
        </w:tc>
      </w:tr>
    </w:tbl>
    <w:p w:rsidR="00607B53" w:rsidRDefault="00607B53" w:rsidP="00515B53"/>
    <w:p w:rsidR="009214D4" w:rsidRDefault="009214D4" w:rsidP="00515B53"/>
    <w:p w:rsidR="009214D4" w:rsidRDefault="009214D4" w:rsidP="00515B53"/>
    <w:p w:rsidR="00607B53" w:rsidRDefault="00607B53" w:rsidP="00607B53">
      <w:pPr>
        <w:jc w:val="right"/>
        <w:rPr>
          <w:sz w:val="16"/>
          <w:szCs w:val="16"/>
        </w:rPr>
      </w:pPr>
    </w:p>
    <w:p w:rsidR="009214D4" w:rsidRPr="000A7C17" w:rsidRDefault="00607B53" w:rsidP="00607B53">
      <w:pPr>
        <w:jc w:val="right"/>
        <w:rPr>
          <w:sz w:val="16"/>
          <w:szCs w:val="16"/>
        </w:rPr>
      </w:pPr>
      <w:r w:rsidRPr="000A7C17">
        <w:rPr>
          <w:sz w:val="16"/>
          <w:szCs w:val="16"/>
        </w:rPr>
        <w:t>v €</w:t>
      </w:r>
    </w:p>
    <w:tbl>
      <w:tblPr>
        <w:tblW w:w="9435" w:type="dxa"/>
        <w:tblInd w:w="55" w:type="dxa"/>
        <w:tblCellMar>
          <w:left w:w="70" w:type="dxa"/>
          <w:right w:w="70" w:type="dxa"/>
        </w:tblCellMar>
        <w:tblLook w:val="04A0" w:firstRow="1" w:lastRow="0" w:firstColumn="1" w:lastColumn="0" w:noHBand="0" w:noVBand="1"/>
      </w:tblPr>
      <w:tblGrid>
        <w:gridCol w:w="420"/>
        <w:gridCol w:w="5265"/>
        <w:gridCol w:w="1440"/>
        <w:gridCol w:w="1440"/>
        <w:gridCol w:w="870"/>
      </w:tblGrid>
      <w:tr w:rsidR="009B4428" w:rsidRPr="00F95345" w:rsidTr="009B4428">
        <w:trPr>
          <w:trHeight w:val="270"/>
        </w:trPr>
        <w:tc>
          <w:tcPr>
            <w:tcW w:w="420"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1440" w:type="dxa"/>
            <w:tcBorders>
              <w:top w:val="single" w:sz="4" w:space="0" w:color="FF0000"/>
              <w:left w:val="nil"/>
              <w:bottom w:val="nil"/>
              <w:right w:val="single" w:sz="4" w:space="0" w:color="BFBFBF"/>
            </w:tcBorders>
            <w:shd w:val="clear" w:color="auto" w:fill="auto"/>
            <w:noWrap/>
            <w:vAlign w:val="bottom"/>
            <w:hideMark/>
          </w:tcPr>
          <w:p w:rsidR="009B4428" w:rsidRPr="00F95345" w:rsidRDefault="009B4428" w:rsidP="005D277E">
            <w:pPr>
              <w:jc w:val="center"/>
              <w:rPr>
                <w:rFonts w:ascii="Arial Narrow" w:hAnsi="Arial Narrow"/>
                <w:b/>
                <w:bCs/>
                <w:sz w:val="18"/>
                <w:szCs w:val="18"/>
              </w:rPr>
            </w:pPr>
            <w:r w:rsidRPr="00F95345">
              <w:rPr>
                <w:rFonts w:ascii="Arial Narrow" w:hAnsi="Arial Narrow"/>
                <w:b/>
                <w:bCs/>
                <w:sz w:val="18"/>
                <w:szCs w:val="18"/>
              </w:rPr>
              <w:t>ocena</w:t>
            </w:r>
          </w:p>
        </w:tc>
        <w:tc>
          <w:tcPr>
            <w:tcW w:w="1440" w:type="dxa"/>
            <w:tcBorders>
              <w:top w:val="single" w:sz="4" w:space="0" w:color="FF0000"/>
              <w:left w:val="single" w:sz="4" w:space="0" w:color="BFBFBF"/>
              <w:bottom w:val="nil"/>
              <w:right w:val="single" w:sz="4" w:space="0" w:color="BFBFBF"/>
            </w:tcBorders>
            <w:shd w:val="clear" w:color="auto" w:fill="auto"/>
            <w:noWrap/>
            <w:vAlign w:val="bottom"/>
            <w:hideMark/>
          </w:tcPr>
          <w:p w:rsidR="009B4428" w:rsidRPr="00F95345" w:rsidRDefault="009B4428" w:rsidP="005D277E">
            <w:pPr>
              <w:jc w:val="center"/>
              <w:rPr>
                <w:rFonts w:ascii="Arial Narrow" w:hAnsi="Arial Narrow"/>
                <w:b/>
                <w:bCs/>
                <w:sz w:val="18"/>
                <w:szCs w:val="18"/>
              </w:rPr>
            </w:pPr>
            <w:r w:rsidRPr="00F95345">
              <w:rPr>
                <w:rFonts w:ascii="Arial Narrow" w:hAnsi="Arial Narrow"/>
                <w:b/>
                <w:bCs/>
                <w:sz w:val="18"/>
                <w:szCs w:val="18"/>
              </w:rPr>
              <w:t>plan</w:t>
            </w:r>
          </w:p>
        </w:tc>
        <w:tc>
          <w:tcPr>
            <w:tcW w:w="870" w:type="dxa"/>
            <w:tcBorders>
              <w:top w:val="single" w:sz="4" w:space="0" w:color="FF0000"/>
              <w:left w:val="single" w:sz="4" w:space="0" w:color="BFBFBF"/>
              <w:bottom w:val="nil"/>
              <w:right w:val="nil"/>
            </w:tcBorders>
            <w:shd w:val="clear" w:color="auto" w:fill="auto"/>
            <w:noWrap/>
            <w:vAlign w:val="bottom"/>
            <w:hideMark/>
          </w:tcPr>
          <w:p w:rsidR="009B4428" w:rsidRPr="00F95345" w:rsidRDefault="009B4428" w:rsidP="005D277E">
            <w:pPr>
              <w:jc w:val="center"/>
              <w:rPr>
                <w:rFonts w:ascii="Arial Narrow" w:hAnsi="Arial Narrow"/>
                <w:sz w:val="18"/>
                <w:szCs w:val="18"/>
              </w:rPr>
            </w:pPr>
            <w:r w:rsidRPr="00F95345">
              <w:rPr>
                <w:rFonts w:ascii="Arial Narrow" w:hAnsi="Arial Narrow"/>
                <w:sz w:val="18"/>
                <w:szCs w:val="18"/>
              </w:rPr>
              <w:t>Indeks</w:t>
            </w:r>
          </w:p>
        </w:tc>
      </w:tr>
      <w:tr w:rsidR="009B4428" w:rsidRPr="00F95345" w:rsidTr="009B4428">
        <w:trPr>
          <w:trHeight w:val="270"/>
        </w:trPr>
        <w:tc>
          <w:tcPr>
            <w:tcW w:w="420"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 </w:t>
            </w:r>
          </w:p>
        </w:tc>
        <w:tc>
          <w:tcPr>
            <w:tcW w:w="5265"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 </w:t>
            </w:r>
          </w:p>
        </w:tc>
        <w:tc>
          <w:tcPr>
            <w:tcW w:w="1440" w:type="dxa"/>
            <w:tcBorders>
              <w:top w:val="nil"/>
              <w:left w:val="nil"/>
              <w:bottom w:val="single" w:sz="4" w:space="0" w:color="FF0000"/>
              <w:right w:val="single" w:sz="4" w:space="0" w:color="BFBFBF"/>
            </w:tcBorders>
            <w:shd w:val="clear" w:color="auto" w:fill="auto"/>
            <w:noWrap/>
            <w:vAlign w:val="bottom"/>
            <w:hideMark/>
          </w:tcPr>
          <w:p w:rsidR="009B4428" w:rsidRPr="00F95345" w:rsidRDefault="009B4428" w:rsidP="005D277E">
            <w:pPr>
              <w:jc w:val="center"/>
              <w:rPr>
                <w:rFonts w:ascii="Arial Narrow" w:hAnsi="Arial Narrow"/>
                <w:b/>
                <w:bCs/>
                <w:sz w:val="18"/>
                <w:szCs w:val="18"/>
              </w:rPr>
            </w:pPr>
            <w:r w:rsidRPr="00F95345">
              <w:rPr>
                <w:rFonts w:ascii="Arial Narrow" w:hAnsi="Arial Narrow"/>
                <w:b/>
                <w:bCs/>
                <w:sz w:val="18"/>
                <w:szCs w:val="18"/>
              </w:rPr>
              <w:t>31.12.2015</w:t>
            </w:r>
          </w:p>
        </w:tc>
        <w:tc>
          <w:tcPr>
            <w:tcW w:w="1440" w:type="dxa"/>
            <w:tcBorders>
              <w:top w:val="nil"/>
              <w:left w:val="single" w:sz="4" w:space="0" w:color="BFBFBF"/>
              <w:bottom w:val="single" w:sz="4" w:space="0" w:color="FF0000"/>
              <w:right w:val="single" w:sz="4" w:space="0" w:color="BFBFBF"/>
            </w:tcBorders>
            <w:shd w:val="clear" w:color="auto" w:fill="auto"/>
            <w:noWrap/>
            <w:vAlign w:val="bottom"/>
            <w:hideMark/>
          </w:tcPr>
          <w:p w:rsidR="009B4428" w:rsidRPr="00F95345" w:rsidRDefault="009B4428" w:rsidP="005D277E">
            <w:pPr>
              <w:jc w:val="center"/>
              <w:rPr>
                <w:rFonts w:ascii="Arial Narrow" w:hAnsi="Arial Narrow"/>
                <w:b/>
                <w:bCs/>
                <w:sz w:val="18"/>
                <w:szCs w:val="18"/>
              </w:rPr>
            </w:pPr>
            <w:r w:rsidRPr="00F95345">
              <w:rPr>
                <w:rFonts w:ascii="Arial Narrow" w:hAnsi="Arial Narrow"/>
                <w:b/>
                <w:bCs/>
                <w:sz w:val="18"/>
                <w:szCs w:val="18"/>
              </w:rPr>
              <w:t>31.12.2016</w:t>
            </w:r>
          </w:p>
        </w:tc>
        <w:tc>
          <w:tcPr>
            <w:tcW w:w="870" w:type="dxa"/>
            <w:tcBorders>
              <w:top w:val="nil"/>
              <w:left w:val="single" w:sz="4" w:space="0" w:color="BFBFBF"/>
              <w:bottom w:val="single" w:sz="4" w:space="0" w:color="FF0000"/>
              <w:right w:val="nil"/>
            </w:tcBorders>
            <w:shd w:val="clear" w:color="auto" w:fill="auto"/>
            <w:noWrap/>
            <w:vAlign w:val="bottom"/>
            <w:hideMark/>
          </w:tcPr>
          <w:p w:rsidR="009B4428" w:rsidRPr="00F95345" w:rsidRDefault="009B4428" w:rsidP="005D277E">
            <w:pPr>
              <w:jc w:val="center"/>
              <w:rPr>
                <w:rFonts w:ascii="Arial Narrow" w:hAnsi="Arial Narrow"/>
                <w:sz w:val="18"/>
                <w:szCs w:val="18"/>
              </w:rPr>
            </w:pPr>
            <w:r w:rsidRPr="00F95345">
              <w:rPr>
                <w:rFonts w:ascii="Arial Narrow" w:hAnsi="Arial Narrow"/>
                <w:sz w:val="18"/>
                <w:szCs w:val="18"/>
              </w:rPr>
              <w:t>Pl16/oc15</w:t>
            </w:r>
          </w:p>
        </w:tc>
      </w:tr>
      <w:tr w:rsidR="009B4428" w:rsidRPr="00F95345" w:rsidTr="009B4428">
        <w:trPr>
          <w:trHeight w:val="170"/>
        </w:trPr>
        <w:tc>
          <w:tcPr>
            <w:tcW w:w="420"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1440" w:type="dxa"/>
            <w:tcBorders>
              <w:top w:val="single" w:sz="4" w:space="0" w:color="FF0000"/>
              <w:left w:val="nil"/>
              <w:bottom w:val="nil"/>
              <w:right w:val="single" w:sz="4" w:space="0" w:color="BFBFBF"/>
            </w:tcBorders>
            <w:shd w:val="clear" w:color="auto" w:fill="auto"/>
            <w:noWrap/>
            <w:vAlign w:val="bottom"/>
            <w:hideMark/>
          </w:tcPr>
          <w:p w:rsidR="009B4428" w:rsidRPr="00F95345" w:rsidRDefault="009B4428" w:rsidP="005D277E">
            <w:pPr>
              <w:jc w:val="center"/>
              <w:rPr>
                <w:rFonts w:ascii="Arial Narrow" w:hAnsi="Arial Narrow"/>
                <w:b/>
                <w:bCs/>
                <w:sz w:val="18"/>
                <w:szCs w:val="18"/>
              </w:rPr>
            </w:pPr>
          </w:p>
        </w:tc>
        <w:tc>
          <w:tcPr>
            <w:tcW w:w="1440" w:type="dxa"/>
            <w:tcBorders>
              <w:top w:val="single" w:sz="4" w:space="0" w:color="FF0000"/>
              <w:left w:val="single" w:sz="4" w:space="0" w:color="BFBFBF"/>
              <w:bottom w:val="nil"/>
              <w:right w:val="single" w:sz="4" w:space="0" w:color="BFBFBF"/>
            </w:tcBorders>
            <w:shd w:val="clear" w:color="auto" w:fill="auto"/>
            <w:noWrap/>
            <w:vAlign w:val="bottom"/>
            <w:hideMark/>
          </w:tcPr>
          <w:p w:rsidR="009B4428" w:rsidRPr="00F95345" w:rsidRDefault="009B4428" w:rsidP="005D277E">
            <w:pPr>
              <w:jc w:val="center"/>
              <w:rPr>
                <w:rFonts w:ascii="Arial Narrow" w:hAnsi="Arial Narrow"/>
                <w:b/>
                <w:bCs/>
                <w:sz w:val="18"/>
                <w:szCs w:val="18"/>
              </w:rPr>
            </w:pPr>
          </w:p>
        </w:tc>
        <w:tc>
          <w:tcPr>
            <w:tcW w:w="870" w:type="dxa"/>
            <w:tcBorders>
              <w:top w:val="single" w:sz="4" w:space="0" w:color="FF0000"/>
              <w:left w:val="single" w:sz="4" w:space="0" w:color="BFBFBF"/>
              <w:bottom w:val="nil"/>
              <w:right w:val="nil"/>
            </w:tcBorders>
            <w:shd w:val="clear" w:color="auto" w:fill="auto"/>
            <w:noWrap/>
            <w:vAlign w:val="bottom"/>
            <w:hideMark/>
          </w:tcPr>
          <w:p w:rsidR="009B4428" w:rsidRPr="00F95345" w:rsidRDefault="009B4428" w:rsidP="005D277E">
            <w:pPr>
              <w:jc w:val="center"/>
              <w:rPr>
                <w:rFonts w:ascii="Arial Narrow" w:hAnsi="Arial Narrow"/>
                <w:b/>
                <w:bCs/>
                <w:sz w:val="18"/>
                <w:szCs w:val="18"/>
              </w:rPr>
            </w:pPr>
          </w:p>
        </w:tc>
      </w:tr>
      <w:tr w:rsidR="009B4428" w:rsidRPr="00F95345" w:rsidTr="009B4428">
        <w:trPr>
          <w:trHeight w:val="33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color w:val="FF0000"/>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b/>
                <w:bCs/>
                <w:color w:val="FF0000"/>
              </w:rPr>
            </w:pPr>
            <w:r w:rsidRPr="00F95345">
              <w:rPr>
                <w:rFonts w:ascii="Arial Narrow" w:hAnsi="Arial Narrow"/>
                <w:b/>
                <w:bCs/>
                <w:color w:val="FF0000"/>
              </w:rPr>
              <w:t>OBVEZNOSTI DO VIROV SREDSTEV</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b/>
                <w:bCs/>
                <w:color w:val="FF0000"/>
              </w:rPr>
            </w:pPr>
            <w:r w:rsidRPr="00F95345">
              <w:rPr>
                <w:rFonts w:ascii="Arial Narrow" w:hAnsi="Arial Narrow"/>
                <w:b/>
                <w:bCs/>
                <w:color w:val="FF0000"/>
              </w:rPr>
              <w:t>181.001.532</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b/>
                <w:bCs/>
                <w:color w:val="FF0000"/>
              </w:rPr>
            </w:pPr>
            <w:r w:rsidRPr="00F95345">
              <w:rPr>
                <w:rFonts w:ascii="Arial Narrow" w:hAnsi="Arial Narrow"/>
                <w:b/>
                <w:bCs/>
                <w:color w:val="FF0000"/>
              </w:rPr>
              <w:t>174.888.257</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b/>
                <w:bCs/>
                <w:color w:val="FF0000"/>
              </w:rPr>
            </w:pPr>
            <w:r w:rsidRPr="00F95345">
              <w:rPr>
                <w:rFonts w:ascii="Arial Narrow" w:hAnsi="Arial Narrow"/>
                <w:b/>
                <w:bCs/>
                <w:color w:val="FF0000"/>
              </w:rPr>
              <w:t>97</w:t>
            </w:r>
          </w:p>
        </w:tc>
      </w:tr>
      <w:tr w:rsidR="009B4428" w:rsidRPr="00F95345" w:rsidTr="009B4428">
        <w:trPr>
          <w:trHeight w:val="170"/>
        </w:trPr>
        <w:tc>
          <w:tcPr>
            <w:tcW w:w="420"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1440" w:type="dxa"/>
            <w:tcBorders>
              <w:top w:val="nil"/>
              <w:left w:val="nil"/>
              <w:bottom w:val="single" w:sz="4" w:space="0" w:color="FF0000"/>
              <w:right w:val="single" w:sz="4" w:space="0" w:color="BFBFBF"/>
            </w:tcBorders>
            <w:shd w:val="clear" w:color="auto" w:fill="auto"/>
            <w:noWrap/>
            <w:vAlign w:val="bottom"/>
          </w:tcPr>
          <w:p w:rsidR="009B4428" w:rsidRPr="00F95345" w:rsidRDefault="009B4428" w:rsidP="005D277E">
            <w:pPr>
              <w:rPr>
                <w:rFonts w:ascii="Arial Narrow" w:hAnsi="Arial Narrow"/>
                <w:sz w:val="18"/>
                <w:szCs w:val="18"/>
              </w:rPr>
            </w:pPr>
          </w:p>
        </w:tc>
        <w:tc>
          <w:tcPr>
            <w:tcW w:w="1440" w:type="dxa"/>
            <w:tcBorders>
              <w:top w:val="nil"/>
              <w:left w:val="single" w:sz="4" w:space="0" w:color="BFBFBF"/>
              <w:bottom w:val="single" w:sz="4" w:space="0" w:color="FF0000"/>
              <w:right w:val="single" w:sz="4" w:space="0" w:color="BFBFBF"/>
            </w:tcBorders>
            <w:shd w:val="clear" w:color="auto" w:fill="auto"/>
            <w:noWrap/>
            <w:vAlign w:val="bottom"/>
          </w:tcPr>
          <w:p w:rsidR="009B4428" w:rsidRPr="00F95345" w:rsidRDefault="009B4428" w:rsidP="005D277E">
            <w:pPr>
              <w:rPr>
                <w:rFonts w:ascii="Arial Narrow" w:hAnsi="Arial Narrow"/>
                <w:sz w:val="18"/>
                <w:szCs w:val="18"/>
              </w:rPr>
            </w:pPr>
          </w:p>
        </w:tc>
        <w:tc>
          <w:tcPr>
            <w:tcW w:w="870" w:type="dxa"/>
            <w:tcBorders>
              <w:top w:val="nil"/>
              <w:left w:val="single" w:sz="4" w:space="0" w:color="BFBFBF"/>
              <w:bottom w:val="single" w:sz="4" w:space="0" w:color="FF0000"/>
              <w:right w:val="nil"/>
            </w:tcBorders>
            <w:shd w:val="clear" w:color="auto" w:fill="auto"/>
            <w:noWrap/>
            <w:vAlign w:val="bottom"/>
          </w:tcPr>
          <w:p w:rsidR="009B4428" w:rsidRPr="00F95345" w:rsidRDefault="009B4428" w:rsidP="005D277E">
            <w:pPr>
              <w:rPr>
                <w:rFonts w:ascii="Arial Narrow" w:hAnsi="Arial Narrow"/>
                <w:sz w:val="18"/>
                <w:szCs w:val="18"/>
              </w:rPr>
            </w:pPr>
          </w:p>
        </w:tc>
      </w:tr>
      <w:tr w:rsidR="009B4428" w:rsidRPr="00F95345" w:rsidTr="009B4428">
        <w:trPr>
          <w:trHeight w:val="340"/>
        </w:trPr>
        <w:tc>
          <w:tcPr>
            <w:tcW w:w="420"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A.</w:t>
            </w:r>
          </w:p>
        </w:tc>
        <w:tc>
          <w:tcPr>
            <w:tcW w:w="5265"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Kapital</w:t>
            </w:r>
          </w:p>
        </w:tc>
        <w:tc>
          <w:tcPr>
            <w:tcW w:w="1440" w:type="dxa"/>
            <w:tcBorders>
              <w:top w:val="single" w:sz="4" w:space="0" w:color="FF0000"/>
              <w:left w:val="nil"/>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140.156.770</w:t>
            </w:r>
          </w:p>
        </w:tc>
        <w:tc>
          <w:tcPr>
            <w:tcW w:w="1440" w:type="dxa"/>
            <w:tcBorders>
              <w:top w:val="single" w:sz="4" w:space="0" w:color="FF0000"/>
              <w:left w:val="single" w:sz="4" w:space="0" w:color="BFBFBF"/>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140.560.845</w:t>
            </w:r>
          </w:p>
        </w:tc>
        <w:tc>
          <w:tcPr>
            <w:tcW w:w="870" w:type="dxa"/>
            <w:tcBorders>
              <w:top w:val="single" w:sz="4" w:space="0" w:color="FF0000"/>
              <w:left w:val="single" w:sz="4" w:space="0" w:color="BFBFBF"/>
              <w:bottom w:val="single" w:sz="4" w:space="0" w:color="FF0000"/>
              <w:right w:val="nil"/>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100</w:t>
            </w:r>
          </w:p>
        </w:tc>
      </w:tr>
      <w:tr w:rsidR="009B4428" w:rsidRPr="00F95345" w:rsidTr="009B4428">
        <w:trPr>
          <w:trHeight w:val="340"/>
        </w:trPr>
        <w:tc>
          <w:tcPr>
            <w:tcW w:w="420"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w:t>
            </w:r>
          </w:p>
        </w:tc>
        <w:tc>
          <w:tcPr>
            <w:tcW w:w="5265"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Vpoklicani kapital</w:t>
            </w:r>
          </w:p>
        </w:tc>
        <w:tc>
          <w:tcPr>
            <w:tcW w:w="1440" w:type="dxa"/>
            <w:tcBorders>
              <w:top w:val="single" w:sz="4" w:space="0" w:color="FF0000"/>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20.396.244</w:t>
            </w:r>
          </w:p>
        </w:tc>
        <w:tc>
          <w:tcPr>
            <w:tcW w:w="1440" w:type="dxa"/>
            <w:tcBorders>
              <w:top w:val="single" w:sz="4" w:space="0" w:color="FF0000"/>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20.396.244</w:t>
            </w:r>
          </w:p>
        </w:tc>
        <w:tc>
          <w:tcPr>
            <w:tcW w:w="870" w:type="dxa"/>
            <w:tcBorders>
              <w:top w:val="single" w:sz="4" w:space="0" w:color="FF0000"/>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1.   Osnovni kapital</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20.396.244</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20.396.244</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II.</w:t>
            </w: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Kapitalske rezerve</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44.284.976</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44.284.976</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 xml:space="preserve">III. </w:t>
            </w: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Rezerve iz dobička</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72.018.688</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73.972.171</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103</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1.   Zakonske rezerve</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16.931.435</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16.931.435</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2.   Rezerve za lastne delnice</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238.926</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238.926</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3.   Lastne delnice</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-238.926</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-238.926</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5.   Druge rezerve iz dobička</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55.087.253</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57.040.736</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104</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IV.</w:t>
            </w: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Presežek iz prevrednotenja</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-51.926</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-51.926</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V.</w:t>
            </w: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Preneseni čisti dobiček iz prejšnjih let</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6.555</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5.896</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90</w:t>
            </w:r>
          </w:p>
        </w:tc>
      </w:tr>
      <w:tr w:rsidR="009B4428" w:rsidRPr="00F95345" w:rsidTr="009B4428">
        <w:trPr>
          <w:trHeight w:val="340"/>
        </w:trPr>
        <w:tc>
          <w:tcPr>
            <w:tcW w:w="420"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VI.</w:t>
            </w:r>
          </w:p>
        </w:tc>
        <w:tc>
          <w:tcPr>
            <w:tcW w:w="5265"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Čisti poslovni izid poslovnega leta</w:t>
            </w:r>
          </w:p>
        </w:tc>
        <w:tc>
          <w:tcPr>
            <w:tcW w:w="1440" w:type="dxa"/>
            <w:tcBorders>
              <w:top w:val="nil"/>
              <w:left w:val="nil"/>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3.502.233</w:t>
            </w:r>
          </w:p>
        </w:tc>
        <w:tc>
          <w:tcPr>
            <w:tcW w:w="1440" w:type="dxa"/>
            <w:tcBorders>
              <w:top w:val="nil"/>
              <w:left w:val="single" w:sz="4" w:space="0" w:color="BFBFBF"/>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1.953.484</w:t>
            </w:r>
          </w:p>
        </w:tc>
        <w:tc>
          <w:tcPr>
            <w:tcW w:w="870" w:type="dxa"/>
            <w:tcBorders>
              <w:top w:val="nil"/>
              <w:left w:val="single" w:sz="4" w:space="0" w:color="BFBFBF"/>
              <w:bottom w:val="single" w:sz="4" w:space="0" w:color="FF0000"/>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56</w:t>
            </w:r>
          </w:p>
        </w:tc>
      </w:tr>
      <w:tr w:rsidR="009B4428" w:rsidRPr="00F95345" w:rsidTr="009B4428">
        <w:trPr>
          <w:trHeight w:val="340"/>
        </w:trPr>
        <w:tc>
          <w:tcPr>
            <w:tcW w:w="420" w:type="dxa"/>
            <w:tcBorders>
              <w:top w:val="single" w:sz="4" w:space="0" w:color="FF0000"/>
              <w:left w:val="nil"/>
              <w:bottom w:val="single" w:sz="4" w:space="0" w:color="FF0000"/>
              <w:right w:val="nil"/>
            </w:tcBorders>
            <w:shd w:val="clear" w:color="auto" w:fill="D9D9D9" w:themeFill="background1" w:themeFillShade="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B.</w:t>
            </w:r>
          </w:p>
        </w:tc>
        <w:tc>
          <w:tcPr>
            <w:tcW w:w="5265" w:type="dxa"/>
            <w:tcBorders>
              <w:top w:val="single" w:sz="4" w:space="0" w:color="FF0000"/>
              <w:left w:val="nil"/>
              <w:bottom w:val="single" w:sz="4" w:space="0" w:color="FF0000"/>
              <w:right w:val="nil"/>
            </w:tcBorders>
            <w:shd w:val="clear" w:color="auto" w:fill="D9D9D9" w:themeFill="background1" w:themeFillShade="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 xml:space="preserve">Rezervacije in dolgoročne pasivne časovne </w:t>
            </w:r>
            <w:proofErr w:type="spellStart"/>
            <w:r w:rsidRPr="00F95345">
              <w:rPr>
                <w:rFonts w:ascii="Arial Narrow" w:hAnsi="Arial Narrow"/>
                <w:b/>
                <w:bCs/>
                <w:sz w:val="18"/>
                <w:szCs w:val="18"/>
              </w:rPr>
              <w:t>razmej</w:t>
            </w:r>
            <w:proofErr w:type="spellEnd"/>
            <w:r w:rsidRPr="00F95345">
              <w:rPr>
                <w:rFonts w:ascii="Arial Narrow" w:hAnsi="Arial Narrow"/>
                <w:b/>
                <w:bCs/>
                <w:sz w:val="18"/>
                <w:szCs w:val="18"/>
              </w:rPr>
              <w:t>.</w:t>
            </w:r>
          </w:p>
        </w:tc>
        <w:tc>
          <w:tcPr>
            <w:tcW w:w="1440" w:type="dxa"/>
            <w:tcBorders>
              <w:top w:val="single" w:sz="4" w:space="0" w:color="FF0000"/>
              <w:left w:val="nil"/>
              <w:bottom w:val="single" w:sz="4" w:space="0" w:color="FF0000"/>
              <w:right w:val="single" w:sz="4" w:space="0" w:color="BFBFBF"/>
            </w:tcBorders>
            <w:shd w:val="clear" w:color="auto" w:fill="D9D9D9" w:themeFill="background1" w:themeFillShade="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25.086.912</w:t>
            </w:r>
          </w:p>
        </w:tc>
        <w:tc>
          <w:tcPr>
            <w:tcW w:w="1440" w:type="dxa"/>
            <w:tcBorders>
              <w:top w:val="single" w:sz="4" w:space="0" w:color="FF0000"/>
              <w:left w:val="single" w:sz="4" w:space="0" w:color="BFBFBF"/>
              <w:bottom w:val="single" w:sz="4" w:space="0" w:color="FF0000"/>
              <w:right w:val="single" w:sz="4" w:space="0" w:color="BFBFBF"/>
            </w:tcBorders>
            <w:shd w:val="clear" w:color="auto" w:fill="D9D9D9" w:themeFill="background1" w:themeFillShade="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22.493.412</w:t>
            </w:r>
          </w:p>
        </w:tc>
        <w:tc>
          <w:tcPr>
            <w:tcW w:w="870" w:type="dxa"/>
            <w:tcBorders>
              <w:top w:val="single" w:sz="4" w:space="0" w:color="FF0000"/>
              <w:left w:val="single" w:sz="4" w:space="0" w:color="BFBFBF"/>
              <w:bottom w:val="single" w:sz="4" w:space="0" w:color="FF0000"/>
              <w:right w:val="nil"/>
            </w:tcBorders>
            <w:shd w:val="clear" w:color="auto" w:fill="D9D9D9" w:themeFill="background1" w:themeFillShade="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90</w:t>
            </w:r>
          </w:p>
        </w:tc>
      </w:tr>
      <w:tr w:rsidR="009B4428" w:rsidRPr="00F95345" w:rsidTr="009B4428">
        <w:trPr>
          <w:trHeight w:val="340"/>
        </w:trPr>
        <w:tc>
          <w:tcPr>
            <w:tcW w:w="420"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1.   Rezervacije za pokojnine in podobne obveznosti</w:t>
            </w:r>
          </w:p>
        </w:tc>
        <w:tc>
          <w:tcPr>
            <w:tcW w:w="1440" w:type="dxa"/>
            <w:tcBorders>
              <w:top w:val="single" w:sz="4" w:space="0" w:color="FF0000"/>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3.094.155</w:t>
            </w:r>
          </w:p>
        </w:tc>
        <w:tc>
          <w:tcPr>
            <w:tcW w:w="1440" w:type="dxa"/>
            <w:tcBorders>
              <w:top w:val="single" w:sz="4" w:space="0" w:color="FF0000"/>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3.094.155</w:t>
            </w:r>
          </w:p>
        </w:tc>
        <w:tc>
          <w:tcPr>
            <w:tcW w:w="870" w:type="dxa"/>
            <w:tcBorders>
              <w:top w:val="single" w:sz="4" w:space="0" w:color="FF0000"/>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2.   Druge rezervacije</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21.378.906</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18.928.906</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89</w:t>
            </w:r>
          </w:p>
        </w:tc>
      </w:tr>
      <w:tr w:rsidR="009B4428" w:rsidRPr="00F95345" w:rsidTr="009B4428">
        <w:trPr>
          <w:trHeight w:val="340"/>
        </w:trPr>
        <w:tc>
          <w:tcPr>
            <w:tcW w:w="420"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3.   Dolgoročne pasivne časovne razmejitve</w:t>
            </w:r>
          </w:p>
        </w:tc>
        <w:tc>
          <w:tcPr>
            <w:tcW w:w="1440" w:type="dxa"/>
            <w:tcBorders>
              <w:top w:val="nil"/>
              <w:left w:val="nil"/>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613.851</w:t>
            </w:r>
          </w:p>
        </w:tc>
        <w:tc>
          <w:tcPr>
            <w:tcW w:w="1440" w:type="dxa"/>
            <w:tcBorders>
              <w:top w:val="nil"/>
              <w:left w:val="single" w:sz="4" w:space="0" w:color="BFBFBF"/>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470.351</w:t>
            </w:r>
          </w:p>
        </w:tc>
        <w:tc>
          <w:tcPr>
            <w:tcW w:w="870" w:type="dxa"/>
            <w:tcBorders>
              <w:top w:val="nil"/>
              <w:left w:val="single" w:sz="4" w:space="0" w:color="BFBFBF"/>
              <w:bottom w:val="single" w:sz="4" w:space="0" w:color="FF0000"/>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77</w:t>
            </w:r>
          </w:p>
        </w:tc>
      </w:tr>
      <w:tr w:rsidR="009B4428" w:rsidRPr="00F95345" w:rsidTr="009B4428">
        <w:trPr>
          <w:trHeight w:val="340"/>
        </w:trPr>
        <w:tc>
          <w:tcPr>
            <w:tcW w:w="420"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C.</w:t>
            </w:r>
          </w:p>
        </w:tc>
        <w:tc>
          <w:tcPr>
            <w:tcW w:w="5265"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Dolgoročne obveznosti</w:t>
            </w:r>
          </w:p>
        </w:tc>
        <w:tc>
          <w:tcPr>
            <w:tcW w:w="1440" w:type="dxa"/>
            <w:tcBorders>
              <w:top w:val="single" w:sz="4" w:space="0" w:color="FF0000"/>
              <w:left w:val="nil"/>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0</w:t>
            </w:r>
          </w:p>
        </w:tc>
        <w:tc>
          <w:tcPr>
            <w:tcW w:w="1440" w:type="dxa"/>
            <w:tcBorders>
              <w:top w:val="single" w:sz="4" w:space="0" w:color="FF0000"/>
              <w:left w:val="single" w:sz="4" w:space="0" w:color="BFBFBF"/>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0</w:t>
            </w:r>
          </w:p>
        </w:tc>
        <w:tc>
          <w:tcPr>
            <w:tcW w:w="870" w:type="dxa"/>
            <w:tcBorders>
              <w:top w:val="single" w:sz="4" w:space="0" w:color="FF0000"/>
              <w:left w:val="single" w:sz="4" w:space="0" w:color="BFBFBF"/>
              <w:bottom w:val="single" w:sz="4" w:space="0" w:color="FF0000"/>
              <w:right w:val="nil"/>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w:t>
            </w:r>
          </w:p>
        </w:tc>
      </w:tr>
      <w:tr w:rsidR="009B4428" w:rsidRPr="00F95345" w:rsidTr="009B4428">
        <w:trPr>
          <w:trHeight w:val="340"/>
        </w:trPr>
        <w:tc>
          <w:tcPr>
            <w:tcW w:w="420"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w:t>
            </w:r>
          </w:p>
        </w:tc>
        <w:tc>
          <w:tcPr>
            <w:tcW w:w="5265"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Dolgoročne finančne obveznosti</w:t>
            </w:r>
          </w:p>
        </w:tc>
        <w:tc>
          <w:tcPr>
            <w:tcW w:w="1440" w:type="dxa"/>
            <w:tcBorders>
              <w:top w:val="single" w:sz="4" w:space="0" w:color="FF0000"/>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1440" w:type="dxa"/>
            <w:tcBorders>
              <w:top w:val="single" w:sz="4" w:space="0" w:color="FF0000"/>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870" w:type="dxa"/>
            <w:tcBorders>
              <w:top w:val="single" w:sz="4" w:space="0" w:color="FF0000"/>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2.   Dolgoročne finančne obveznosti do bank</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w:t>
            </w:r>
          </w:p>
        </w:tc>
      </w:tr>
      <w:tr w:rsidR="009B4428" w:rsidRPr="00F95345" w:rsidTr="009B4428">
        <w:trPr>
          <w:trHeight w:val="340"/>
        </w:trPr>
        <w:tc>
          <w:tcPr>
            <w:tcW w:w="420"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III.</w:t>
            </w:r>
          </w:p>
        </w:tc>
        <w:tc>
          <w:tcPr>
            <w:tcW w:w="5265"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Odložene obveznosti za davek</w:t>
            </w:r>
          </w:p>
        </w:tc>
        <w:tc>
          <w:tcPr>
            <w:tcW w:w="1440" w:type="dxa"/>
            <w:tcBorders>
              <w:top w:val="nil"/>
              <w:left w:val="nil"/>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1440" w:type="dxa"/>
            <w:tcBorders>
              <w:top w:val="nil"/>
              <w:left w:val="single" w:sz="4" w:space="0" w:color="BFBFBF"/>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870" w:type="dxa"/>
            <w:tcBorders>
              <w:top w:val="nil"/>
              <w:left w:val="single" w:sz="4" w:space="0" w:color="BFBFBF"/>
              <w:bottom w:val="single" w:sz="4" w:space="0" w:color="FF0000"/>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w:t>
            </w:r>
          </w:p>
        </w:tc>
      </w:tr>
      <w:tr w:rsidR="009B4428" w:rsidRPr="00F95345" w:rsidTr="009B4428">
        <w:trPr>
          <w:trHeight w:val="340"/>
        </w:trPr>
        <w:tc>
          <w:tcPr>
            <w:tcW w:w="420"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Č.</w:t>
            </w:r>
          </w:p>
        </w:tc>
        <w:tc>
          <w:tcPr>
            <w:tcW w:w="5265"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Kratkoročne obveznosti</w:t>
            </w:r>
          </w:p>
        </w:tc>
        <w:tc>
          <w:tcPr>
            <w:tcW w:w="1440" w:type="dxa"/>
            <w:tcBorders>
              <w:top w:val="single" w:sz="4" w:space="0" w:color="FF0000"/>
              <w:left w:val="nil"/>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14.797.158</w:t>
            </w:r>
          </w:p>
        </w:tc>
        <w:tc>
          <w:tcPr>
            <w:tcW w:w="1440" w:type="dxa"/>
            <w:tcBorders>
              <w:top w:val="single" w:sz="4" w:space="0" w:color="FF0000"/>
              <w:left w:val="single" w:sz="4" w:space="0" w:color="BFBFBF"/>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10.924.000</w:t>
            </w:r>
          </w:p>
        </w:tc>
        <w:tc>
          <w:tcPr>
            <w:tcW w:w="870" w:type="dxa"/>
            <w:tcBorders>
              <w:top w:val="single" w:sz="4" w:space="0" w:color="FF0000"/>
              <w:left w:val="single" w:sz="4" w:space="0" w:color="BFBFBF"/>
              <w:bottom w:val="single" w:sz="4" w:space="0" w:color="FF0000"/>
              <w:right w:val="nil"/>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74</w:t>
            </w:r>
          </w:p>
        </w:tc>
      </w:tr>
      <w:tr w:rsidR="009B4428" w:rsidRPr="00F95345" w:rsidTr="009B4428">
        <w:trPr>
          <w:trHeight w:val="340"/>
        </w:trPr>
        <w:tc>
          <w:tcPr>
            <w:tcW w:w="420"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II.</w:t>
            </w:r>
          </w:p>
        </w:tc>
        <w:tc>
          <w:tcPr>
            <w:tcW w:w="5265" w:type="dxa"/>
            <w:tcBorders>
              <w:top w:val="single" w:sz="4" w:space="0" w:color="FF0000"/>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Kratkoročne finančne obveznosti</w:t>
            </w:r>
          </w:p>
        </w:tc>
        <w:tc>
          <w:tcPr>
            <w:tcW w:w="1440" w:type="dxa"/>
            <w:tcBorders>
              <w:top w:val="single" w:sz="4" w:space="0" w:color="FF0000"/>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45.120</w:t>
            </w:r>
          </w:p>
        </w:tc>
        <w:tc>
          <w:tcPr>
            <w:tcW w:w="1440" w:type="dxa"/>
            <w:tcBorders>
              <w:top w:val="single" w:sz="4" w:space="0" w:color="FF0000"/>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20.000</w:t>
            </w:r>
          </w:p>
        </w:tc>
        <w:tc>
          <w:tcPr>
            <w:tcW w:w="870" w:type="dxa"/>
            <w:tcBorders>
              <w:top w:val="single" w:sz="4" w:space="0" w:color="FF0000"/>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44</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2.   Kratkoročne finančne obveznosti do bank</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4.   Druge kratkoročne finančne obveznosti</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45.120</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20.000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44</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III.</w:t>
            </w: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Kratkoročne poslovne obveznosti</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14.752.038</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10.904.000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74</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2.   Kratkoročne poslovne obveznosti do dobaviteljev</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10.920.000</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8.736.000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80</w:t>
            </w:r>
          </w:p>
        </w:tc>
      </w:tr>
      <w:tr w:rsidR="009B4428" w:rsidRPr="00F95345" w:rsidTr="009B4428">
        <w:trPr>
          <w:trHeight w:val="340"/>
        </w:trPr>
        <w:tc>
          <w:tcPr>
            <w:tcW w:w="420"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nil"/>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4.   Kratkoročne poslovne obveznosti na podlagi predujmov</w:t>
            </w:r>
          </w:p>
        </w:tc>
        <w:tc>
          <w:tcPr>
            <w:tcW w:w="1440" w:type="dxa"/>
            <w:tcBorders>
              <w:top w:val="nil"/>
              <w:left w:val="nil"/>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1440" w:type="dxa"/>
            <w:tcBorders>
              <w:top w:val="nil"/>
              <w:left w:val="single" w:sz="4" w:space="0" w:color="BFBFBF"/>
              <w:bottom w:val="nil"/>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0</w:t>
            </w:r>
          </w:p>
        </w:tc>
        <w:tc>
          <w:tcPr>
            <w:tcW w:w="870" w:type="dxa"/>
            <w:tcBorders>
              <w:top w:val="nil"/>
              <w:left w:val="single" w:sz="4" w:space="0" w:color="BFBFBF"/>
              <w:bottom w:val="nil"/>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w:t>
            </w:r>
          </w:p>
        </w:tc>
      </w:tr>
      <w:tr w:rsidR="009B4428" w:rsidRPr="00F95345" w:rsidTr="009B4428">
        <w:trPr>
          <w:trHeight w:val="340"/>
        </w:trPr>
        <w:tc>
          <w:tcPr>
            <w:tcW w:w="420"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p>
        </w:tc>
        <w:tc>
          <w:tcPr>
            <w:tcW w:w="5265" w:type="dxa"/>
            <w:tcBorders>
              <w:top w:val="nil"/>
              <w:left w:val="nil"/>
              <w:bottom w:val="single" w:sz="4" w:space="0" w:color="FF0000"/>
              <w:right w:val="nil"/>
            </w:tcBorders>
            <w:shd w:val="clear" w:color="auto" w:fill="auto"/>
            <w:noWrap/>
            <w:vAlign w:val="bottom"/>
            <w:hideMark/>
          </w:tcPr>
          <w:p w:rsidR="009B4428" w:rsidRPr="00F95345" w:rsidRDefault="009B4428" w:rsidP="005D277E">
            <w:pPr>
              <w:rPr>
                <w:rFonts w:ascii="Arial Narrow" w:hAnsi="Arial Narrow"/>
                <w:sz w:val="18"/>
                <w:szCs w:val="18"/>
              </w:rPr>
            </w:pPr>
            <w:r w:rsidRPr="00F95345">
              <w:rPr>
                <w:rFonts w:ascii="Arial Narrow" w:hAnsi="Arial Narrow"/>
                <w:sz w:val="18"/>
                <w:szCs w:val="18"/>
              </w:rPr>
              <w:t xml:space="preserve">5.   Druge kratkoročne poslovne obveznosti </w:t>
            </w:r>
          </w:p>
        </w:tc>
        <w:tc>
          <w:tcPr>
            <w:tcW w:w="1440" w:type="dxa"/>
            <w:tcBorders>
              <w:top w:val="nil"/>
              <w:left w:val="nil"/>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3.832.038</w:t>
            </w:r>
          </w:p>
        </w:tc>
        <w:tc>
          <w:tcPr>
            <w:tcW w:w="1440" w:type="dxa"/>
            <w:tcBorders>
              <w:top w:val="nil"/>
              <w:left w:val="single" w:sz="4" w:space="0" w:color="BFBFBF"/>
              <w:bottom w:val="single" w:sz="4" w:space="0" w:color="FF0000"/>
              <w:right w:val="single" w:sz="4" w:space="0" w:color="BFBFBF"/>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2.168.000</w:t>
            </w:r>
          </w:p>
        </w:tc>
        <w:tc>
          <w:tcPr>
            <w:tcW w:w="870" w:type="dxa"/>
            <w:tcBorders>
              <w:top w:val="nil"/>
              <w:left w:val="single" w:sz="4" w:space="0" w:color="BFBFBF"/>
              <w:bottom w:val="single" w:sz="4" w:space="0" w:color="FF0000"/>
              <w:right w:val="nil"/>
            </w:tcBorders>
            <w:shd w:val="clear" w:color="auto" w:fill="auto"/>
            <w:noWrap/>
            <w:vAlign w:val="bottom"/>
          </w:tcPr>
          <w:p w:rsidR="009B4428" w:rsidRPr="00F95345" w:rsidRDefault="009B4428" w:rsidP="005D277E">
            <w:pPr>
              <w:jc w:val="right"/>
              <w:rPr>
                <w:rFonts w:ascii="Arial Narrow" w:hAnsi="Arial Narrow"/>
                <w:sz w:val="18"/>
                <w:szCs w:val="18"/>
              </w:rPr>
            </w:pPr>
            <w:r w:rsidRPr="00F95345">
              <w:rPr>
                <w:rFonts w:ascii="Arial Narrow" w:hAnsi="Arial Narrow"/>
                <w:sz w:val="18"/>
                <w:szCs w:val="18"/>
              </w:rPr>
              <w:t>57</w:t>
            </w:r>
          </w:p>
        </w:tc>
      </w:tr>
      <w:tr w:rsidR="009B4428" w:rsidRPr="00F95345" w:rsidTr="009B4428">
        <w:trPr>
          <w:trHeight w:val="340"/>
        </w:trPr>
        <w:tc>
          <w:tcPr>
            <w:tcW w:w="420"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D.</w:t>
            </w:r>
          </w:p>
        </w:tc>
        <w:tc>
          <w:tcPr>
            <w:tcW w:w="5265" w:type="dxa"/>
            <w:tcBorders>
              <w:top w:val="single" w:sz="4" w:space="0" w:color="FF0000"/>
              <w:left w:val="nil"/>
              <w:bottom w:val="single" w:sz="4" w:space="0" w:color="FF0000"/>
              <w:right w:val="nil"/>
            </w:tcBorders>
            <w:shd w:val="clear" w:color="auto" w:fill="D9D9D9"/>
            <w:noWrap/>
            <w:vAlign w:val="bottom"/>
            <w:hideMark/>
          </w:tcPr>
          <w:p w:rsidR="009B4428" w:rsidRPr="00F95345" w:rsidRDefault="009B4428" w:rsidP="005D277E">
            <w:pPr>
              <w:rPr>
                <w:rFonts w:ascii="Arial Narrow" w:hAnsi="Arial Narrow"/>
                <w:b/>
                <w:bCs/>
                <w:sz w:val="18"/>
                <w:szCs w:val="18"/>
              </w:rPr>
            </w:pPr>
            <w:r w:rsidRPr="00F95345">
              <w:rPr>
                <w:rFonts w:ascii="Arial Narrow" w:hAnsi="Arial Narrow"/>
                <w:b/>
                <w:bCs/>
                <w:sz w:val="18"/>
                <w:szCs w:val="18"/>
              </w:rPr>
              <w:t>Kratkoročne pasivne časovne razmejitve</w:t>
            </w:r>
          </w:p>
        </w:tc>
        <w:tc>
          <w:tcPr>
            <w:tcW w:w="1440" w:type="dxa"/>
            <w:tcBorders>
              <w:top w:val="single" w:sz="4" w:space="0" w:color="FF0000"/>
              <w:left w:val="nil"/>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960.692</w:t>
            </w:r>
          </w:p>
        </w:tc>
        <w:tc>
          <w:tcPr>
            <w:tcW w:w="1440" w:type="dxa"/>
            <w:tcBorders>
              <w:top w:val="single" w:sz="4" w:space="0" w:color="FF0000"/>
              <w:left w:val="single" w:sz="4" w:space="0" w:color="BFBFBF"/>
              <w:bottom w:val="single" w:sz="4" w:space="0" w:color="FF0000"/>
              <w:right w:val="single" w:sz="4" w:space="0" w:color="BFBFBF"/>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910.000</w:t>
            </w:r>
          </w:p>
        </w:tc>
        <w:tc>
          <w:tcPr>
            <w:tcW w:w="870" w:type="dxa"/>
            <w:tcBorders>
              <w:top w:val="single" w:sz="4" w:space="0" w:color="FF0000"/>
              <w:left w:val="single" w:sz="4" w:space="0" w:color="BFBFBF"/>
              <w:bottom w:val="single" w:sz="4" w:space="0" w:color="FF0000"/>
              <w:right w:val="nil"/>
            </w:tcBorders>
            <w:shd w:val="clear" w:color="auto" w:fill="D9D9D9"/>
            <w:noWrap/>
            <w:vAlign w:val="bottom"/>
          </w:tcPr>
          <w:p w:rsidR="009B4428" w:rsidRPr="00F95345" w:rsidRDefault="009B4428" w:rsidP="005D277E">
            <w:pPr>
              <w:jc w:val="right"/>
              <w:rPr>
                <w:rFonts w:ascii="Arial Narrow" w:hAnsi="Arial Narrow"/>
                <w:b/>
                <w:bCs/>
                <w:sz w:val="18"/>
                <w:szCs w:val="18"/>
              </w:rPr>
            </w:pPr>
            <w:r w:rsidRPr="00F95345">
              <w:rPr>
                <w:rFonts w:ascii="Arial Narrow" w:hAnsi="Arial Narrow"/>
                <w:b/>
                <w:bCs/>
                <w:sz w:val="18"/>
                <w:szCs w:val="18"/>
              </w:rPr>
              <w:t>95</w:t>
            </w:r>
          </w:p>
        </w:tc>
      </w:tr>
    </w:tbl>
    <w:p w:rsidR="00104EF9" w:rsidRDefault="00104EF9" w:rsidP="00607B53">
      <w:pPr>
        <w:rPr>
          <w:sz w:val="16"/>
          <w:szCs w:val="16"/>
        </w:rPr>
      </w:pPr>
    </w:p>
    <w:p w:rsidR="009214D4" w:rsidRDefault="009214D4" w:rsidP="009214D4">
      <w:pPr>
        <w:rPr>
          <w:rFonts w:ascii="Arial Narrow" w:hAnsi="Arial Narrow"/>
          <w:b/>
          <w:color w:val="FF0000"/>
          <w:u w:val="single"/>
          <w14:shadow w14:blurRad="50800" w14:dist="38100" w14:dir="2700000" w14:sx="100000" w14:sy="100000" w14:kx="0" w14:ky="0" w14:algn="tl">
            <w14:srgbClr w14:val="000000">
              <w14:alpha w14:val="60000"/>
            </w14:srgbClr>
          </w14:shadow>
        </w:rPr>
      </w:pPr>
    </w:p>
    <w:p w:rsidR="00C20DF4" w:rsidRDefault="00C20DF4" w:rsidP="009214D4">
      <w:pPr>
        <w:rPr>
          <w:rFonts w:ascii="Arial Narrow" w:hAnsi="Arial Narrow"/>
          <w:b/>
          <w:color w:val="FF0000"/>
          <w:u w:val="single"/>
          <w14:shadow w14:blurRad="50800" w14:dist="38100" w14:dir="2700000" w14:sx="100000" w14:sy="100000" w14:kx="0" w14:ky="0" w14:algn="tl">
            <w14:srgbClr w14:val="000000">
              <w14:alpha w14:val="60000"/>
            </w14:srgbClr>
          </w14:shadow>
        </w:rPr>
      </w:pPr>
    </w:p>
    <w:p w:rsidR="000A7C17" w:rsidRDefault="000A7C17">
      <w:pPr>
        <w:jc w:val="left"/>
        <w:rPr>
          <w:b/>
          <w:i/>
          <w:color w:val="FF0000"/>
        </w:rPr>
      </w:pPr>
      <w:r>
        <w:rPr>
          <w:b/>
          <w:i/>
          <w:color w:val="FF0000"/>
        </w:rPr>
        <w:br w:type="page"/>
      </w:r>
    </w:p>
    <w:p w:rsidR="000A7C17" w:rsidRPr="000A7C17" w:rsidRDefault="000A7C17" w:rsidP="00C20DF4">
      <w:pPr>
        <w:rPr>
          <w:b/>
          <w:i/>
          <w:color w:val="FF0000"/>
          <w:sz w:val="28"/>
          <w:szCs w:val="28"/>
        </w:rPr>
      </w:pPr>
    </w:p>
    <w:p w:rsidR="00C20DF4" w:rsidRPr="00F572AB" w:rsidRDefault="00C20DF4" w:rsidP="00C20DF4">
      <w:pPr>
        <w:rPr>
          <w:b/>
          <w:i/>
          <w:color w:val="FF0000"/>
        </w:rPr>
      </w:pPr>
      <w:r w:rsidRPr="00F572AB">
        <w:rPr>
          <w:b/>
          <w:i/>
          <w:color w:val="FF0000"/>
        </w:rPr>
        <w:t xml:space="preserve">Pojasnilo </w:t>
      </w:r>
    </w:p>
    <w:p w:rsidR="00C20DF4" w:rsidRDefault="00C20DF4" w:rsidP="009214D4">
      <w:pPr>
        <w:rPr>
          <w:rFonts w:ascii="Arial Narrow" w:hAnsi="Arial Narrow"/>
          <w:b/>
          <w:color w:val="FF0000"/>
          <w:u w:val="single"/>
          <w14:shadow w14:blurRad="50800" w14:dist="38100" w14:dir="2700000" w14:sx="100000" w14:sy="100000" w14:kx="0" w14:ky="0" w14:algn="tl">
            <w14:srgbClr w14:val="000000">
              <w14:alpha w14:val="60000"/>
            </w14:srgbClr>
          </w14:shadow>
        </w:rPr>
      </w:pPr>
    </w:p>
    <w:p w:rsidR="00C20DF4" w:rsidRPr="00F572AB" w:rsidRDefault="00C20DF4" w:rsidP="00C20DF4">
      <w:pPr>
        <w:spacing w:line="288" w:lineRule="auto"/>
        <w:rPr>
          <w:i/>
          <w:sz w:val="16"/>
          <w:szCs w:val="16"/>
        </w:rPr>
      </w:pPr>
      <w:r w:rsidRPr="00F572AB">
        <w:rPr>
          <w:i/>
          <w:sz w:val="16"/>
          <w:szCs w:val="16"/>
        </w:rPr>
        <w:t>Dokument in njegovi sestavni deli se nanašajo na prihodnje poslovanje podjetja in na prihodnje finančno stanje družbe. Dokument je zasnovan na trenutnem stanju, ocenah, analizah in tudi na predpostavkah, predvidevanjih in napovedih relevantnih institucij in industrijskih analitikov. Dokument vsebuje tudi poglede, pričakovanja in sklepanja Uprave, pri čemer gre za področja, ki so objektivno izven vplivnega območja podjetja in Uprave. Napovedi in načrti prihodnjega poslovanja podjetja in njegovega finančnega stanja so zato povezani z vrsto negotovosti in tveganji uresničitve predpostavk, kakor tudi samih načrtov. Podjetje in Uprava ne prevzemata odgovornosti za obseg, vsebino in stopnjo uresničitve prej omenjenih predpostavk, izhodišč in posledičnih napovedi. Podjetje in Uprava tudi ne prevzemata obveze medletnega prilagajanja in popravljanja napovedi in načrtov ob vsakokratnih spremembah predpostavk oziroma osnov in temeljev teh napovedi in načrtov.</w:t>
      </w:r>
    </w:p>
    <w:p w:rsidR="00C20DF4" w:rsidRPr="000078EE" w:rsidRDefault="00C20DF4" w:rsidP="009214D4">
      <w:pPr>
        <w:rPr>
          <w:rFonts w:ascii="Arial Narrow" w:hAnsi="Arial Narrow"/>
          <w:b/>
          <w:color w:val="FF0000"/>
          <w:u w:val="single"/>
          <w14:shadow w14:blurRad="50800" w14:dist="38100" w14:dir="2700000" w14:sx="100000" w14:sy="100000" w14:kx="0" w14:ky="0" w14:algn="tl">
            <w14:srgbClr w14:val="000000">
              <w14:alpha w14:val="60000"/>
            </w14:srgbClr>
          </w14:shadow>
        </w:rPr>
      </w:pPr>
    </w:p>
    <w:p w:rsidR="00104EF9" w:rsidRDefault="00104EF9" w:rsidP="009214D4">
      <w:pPr>
        <w:jc w:val="right"/>
        <w:rPr>
          <w:b/>
          <w:sz w:val="22"/>
          <w:szCs w:val="22"/>
        </w:rPr>
      </w:pPr>
    </w:p>
    <w:p w:rsidR="00356B5D" w:rsidRPr="00C20DF4" w:rsidRDefault="00356B5D" w:rsidP="009214D4">
      <w:pPr>
        <w:jc w:val="right"/>
        <w:rPr>
          <w:b/>
          <w:sz w:val="20"/>
          <w:szCs w:val="20"/>
        </w:rPr>
      </w:pPr>
      <w:r w:rsidRPr="00C20DF4">
        <w:rPr>
          <w:b/>
          <w:sz w:val="20"/>
          <w:szCs w:val="20"/>
        </w:rPr>
        <w:t>CINKARNA CELJE, d.</w:t>
      </w:r>
      <w:r w:rsidR="00C20DF4">
        <w:rPr>
          <w:b/>
          <w:sz w:val="20"/>
          <w:szCs w:val="20"/>
        </w:rPr>
        <w:t xml:space="preserve"> </w:t>
      </w:r>
      <w:r w:rsidRPr="00C20DF4">
        <w:rPr>
          <w:b/>
          <w:sz w:val="20"/>
          <w:szCs w:val="20"/>
        </w:rPr>
        <w:t>d.</w:t>
      </w:r>
    </w:p>
    <w:p w:rsidR="00356B5D" w:rsidRPr="00C20DF4" w:rsidRDefault="00356B5D" w:rsidP="00356B5D">
      <w:pPr>
        <w:jc w:val="right"/>
        <w:rPr>
          <w:b/>
          <w:sz w:val="20"/>
          <w:szCs w:val="20"/>
        </w:rPr>
      </w:pPr>
      <w:r w:rsidRPr="00C20DF4">
        <w:rPr>
          <w:b/>
          <w:sz w:val="20"/>
          <w:szCs w:val="20"/>
        </w:rPr>
        <w:t>UPRAVA</w:t>
      </w:r>
    </w:p>
    <w:sectPr w:rsidR="00356B5D" w:rsidRPr="00C20DF4" w:rsidSect="009B4428">
      <w:headerReference w:type="default" r:id="rId10"/>
      <w:footerReference w:type="even" r:id="rId11"/>
      <w:footerReference w:type="default" r:id="rId12"/>
      <w:headerReference w:type="first" r:id="rId13"/>
      <w:footerReference w:type="first" r:id="rId14"/>
      <w:pgSz w:w="11907" w:h="16840" w:code="9"/>
      <w:pgMar w:top="2835" w:right="1134" w:bottom="1134" w:left="1418" w:header="45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80C" w:rsidRDefault="0079680C">
      <w:r>
        <w:separator/>
      </w:r>
    </w:p>
  </w:endnote>
  <w:endnote w:type="continuationSeparator" w:id="0">
    <w:p w:rsidR="0079680C" w:rsidRDefault="0079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7E" w:rsidRDefault="005D277E" w:rsidP="007F1F0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5D277E" w:rsidRDefault="005D277E" w:rsidP="001273AC">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7E" w:rsidRDefault="005D277E" w:rsidP="007F1F05">
    <w:pPr>
      <w:pStyle w:val="Noga"/>
      <w:framePr w:wrap="around" w:vAnchor="text" w:hAnchor="margin" w:xAlign="right" w:y="1"/>
      <w:rPr>
        <w:rStyle w:val="tevilkastrani"/>
      </w:rPr>
    </w:pPr>
  </w:p>
  <w:p w:rsidR="005D277E" w:rsidRPr="004C64B1" w:rsidRDefault="005D277E" w:rsidP="00BB046E">
    <w:pPr>
      <w:pStyle w:val="Noga"/>
      <w:ind w:right="360"/>
      <w:jc w:val="right"/>
      <w:rPr>
        <w:sz w:val="12"/>
        <w:szCs w:val="12"/>
      </w:rPr>
    </w:pPr>
    <w:r>
      <w:rPr>
        <w:sz w:val="14"/>
        <w:szCs w:val="14"/>
      </w:rPr>
      <w:t xml:space="preserve">                                                                                                                                  </w:t>
    </w:r>
    <w:r w:rsidRPr="004C64B1">
      <w:rPr>
        <w:sz w:val="12"/>
        <w:szCs w:val="12"/>
      </w:rPr>
      <w:t xml:space="preserve">stran </w:t>
    </w:r>
    <w:r w:rsidRPr="004C64B1">
      <w:rPr>
        <w:sz w:val="12"/>
        <w:szCs w:val="12"/>
      </w:rPr>
      <w:fldChar w:fldCharType="begin"/>
    </w:r>
    <w:r w:rsidRPr="004C64B1">
      <w:rPr>
        <w:sz w:val="12"/>
        <w:szCs w:val="12"/>
      </w:rPr>
      <w:instrText xml:space="preserve"> PAGE </w:instrText>
    </w:r>
    <w:r w:rsidRPr="004C64B1">
      <w:rPr>
        <w:sz w:val="12"/>
        <w:szCs w:val="12"/>
      </w:rPr>
      <w:fldChar w:fldCharType="separate"/>
    </w:r>
    <w:r w:rsidR="00BA6A1B">
      <w:rPr>
        <w:noProof/>
        <w:sz w:val="12"/>
        <w:szCs w:val="12"/>
      </w:rPr>
      <w:t>9</w:t>
    </w:r>
    <w:r w:rsidRPr="004C64B1">
      <w:rPr>
        <w:sz w:val="12"/>
        <w:szCs w:val="12"/>
      </w:rPr>
      <w:fldChar w:fldCharType="end"/>
    </w:r>
    <w:r w:rsidRPr="004C64B1">
      <w:rPr>
        <w:sz w:val="12"/>
        <w:szCs w:val="12"/>
      </w:rPr>
      <w:t xml:space="preserve"> od </w:t>
    </w:r>
    <w:r w:rsidRPr="004C64B1">
      <w:rPr>
        <w:sz w:val="12"/>
        <w:szCs w:val="12"/>
      </w:rPr>
      <w:fldChar w:fldCharType="begin"/>
    </w:r>
    <w:r w:rsidRPr="004C64B1">
      <w:rPr>
        <w:sz w:val="12"/>
        <w:szCs w:val="12"/>
      </w:rPr>
      <w:instrText xml:space="preserve"> NUMPAGES </w:instrText>
    </w:r>
    <w:r w:rsidRPr="004C64B1">
      <w:rPr>
        <w:sz w:val="12"/>
        <w:szCs w:val="12"/>
      </w:rPr>
      <w:fldChar w:fldCharType="separate"/>
    </w:r>
    <w:r w:rsidR="00BA6A1B">
      <w:rPr>
        <w:noProof/>
        <w:sz w:val="12"/>
        <w:szCs w:val="12"/>
      </w:rPr>
      <w:t>9</w:t>
    </w:r>
    <w:r w:rsidRPr="004C64B1">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7E" w:rsidRPr="008544F2" w:rsidRDefault="005D277E">
    <w:pPr>
      <w:pStyle w:val="Noga"/>
      <w:rPr>
        <w:sz w:val="12"/>
        <w:szCs w:val="12"/>
      </w:rPr>
    </w:pPr>
  </w:p>
  <w:p w:rsidR="005D277E" w:rsidRDefault="005D277E">
    <w:pPr>
      <w:pStyle w:val="Noga"/>
    </w:pPr>
    <w:r>
      <w:t xml:space="preserve">  </w:t>
    </w:r>
  </w:p>
  <w:p w:rsidR="005D277E" w:rsidRDefault="005D277E" w:rsidP="00BB046E">
    <w:pPr>
      <w:pStyle w:val="Noga"/>
      <w:jc w:val="right"/>
      <w:rPr>
        <w:sz w:val="12"/>
        <w:szCs w:val="12"/>
      </w:rPr>
    </w:pPr>
    <w:r w:rsidRPr="00BB046E">
      <w:rPr>
        <w:sz w:val="12"/>
        <w:szCs w:val="12"/>
      </w:rPr>
      <w:t xml:space="preserve">Stran </w:t>
    </w:r>
    <w:r w:rsidRPr="00BB046E">
      <w:rPr>
        <w:sz w:val="12"/>
        <w:szCs w:val="12"/>
      </w:rPr>
      <w:fldChar w:fldCharType="begin"/>
    </w:r>
    <w:r w:rsidRPr="00BB046E">
      <w:rPr>
        <w:sz w:val="12"/>
        <w:szCs w:val="12"/>
      </w:rPr>
      <w:instrText xml:space="preserve"> PAGE </w:instrText>
    </w:r>
    <w:r w:rsidRPr="00BB046E">
      <w:rPr>
        <w:sz w:val="12"/>
        <w:szCs w:val="12"/>
      </w:rPr>
      <w:fldChar w:fldCharType="separate"/>
    </w:r>
    <w:r w:rsidR="00BA6A1B">
      <w:rPr>
        <w:noProof/>
        <w:sz w:val="12"/>
        <w:szCs w:val="12"/>
      </w:rPr>
      <w:t>1</w:t>
    </w:r>
    <w:r w:rsidRPr="00BB046E">
      <w:rPr>
        <w:sz w:val="12"/>
        <w:szCs w:val="12"/>
      </w:rPr>
      <w:fldChar w:fldCharType="end"/>
    </w:r>
    <w:r w:rsidRPr="00BB046E">
      <w:rPr>
        <w:sz w:val="12"/>
        <w:szCs w:val="12"/>
      </w:rPr>
      <w:t xml:space="preserve"> od </w:t>
    </w:r>
    <w:r w:rsidRPr="00BB046E">
      <w:rPr>
        <w:sz w:val="12"/>
        <w:szCs w:val="12"/>
      </w:rPr>
      <w:fldChar w:fldCharType="begin"/>
    </w:r>
    <w:r w:rsidRPr="00BB046E">
      <w:rPr>
        <w:sz w:val="12"/>
        <w:szCs w:val="12"/>
      </w:rPr>
      <w:instrText xml:space="preserve"> NUMPAGES </w:instrText>
    </w:r>
    <w:r w:rsidRPr="00BB046E">
      <w:rPr>
        <w:sz w:val="12"/>
        <w:szCs w:val="12"/>
      </w:rPr>
      <w:fldChar w:fldCharType="separate"/>
    </w:r>
    <w:r w:rsidR="00BA6A1B">
      <w:rPr>
        <w:noProof/>
        <w:sz w:val="12"/>
        <w:szCs w:val="12"/>
      </w:rPr>
      <w:t>9</w:t>
    </w:r>
    <w:r w:rsidRPr="00BB046E">
      <w:rPr>
        <w:sz w:val="12"/>
        <w:szCs w:val="12"/>
      </w:rPr>
      <w:fldChar w:fldCharType="end"/>
    </w:r>
  </w:p>
  <w:p w:rsidR="005D277E" w:rsidRDefault="005D277E">
    <w:pPr>
      <w:pStyle w:val="Nog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80C" w:rsidRDefault="0079680C">
      <w:r>
        <w:separator/>
      </w:r>
    </w:p>
  </w:footnote>
  <w:footnote w:type="continuationSeparator" w:id="0">
    <w:p w:rsidR="0079680C" w:rsidRDefault="00796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7E" w:rsidRDefault="005D277E" w:rsidP="00364CF0">
    <w:pPr>
      <w:rPr>
        <w:sz w:val="36"/>
        <w:szCs w:val="36"/>
      </w:rPr>
    </w:pPr>
    <w:r>
      <w:rPr>
        <w:noProof/>
        <w:sz w:val="20"/>
        <w:szCs w:val="20"/>
        <w:lang w:eastAsia="sl-SI"/>
      </w:rPr>
      <w:drawing>
        <wp:inline distT="0" distB="0" distL="0" distR="0" wp14:anchorId="25E56695" wp14:editId="6C9D2DE1">
          <wp:extent cx="1619250" cy="323850"/>
          <wp:effectExtent l="0" t="0" r="0" b="0"/>
          <wp:docPr id="2" name="Slika 2" descr="Cink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nkar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23850"/>
                  </a:xfrm>
                  <a:prstGeom prst="rect">
                    <a:avLst/>
                  </a:prstGeom>
                  <a:noFill/>
                  <a:ln>
                    <a:noFill/>
                  </a:ln>
                </pic:spPr>
              </pic:pic>
            </a:graphicData>
          </a:graphic>
        </wp:inline>
      </w:drawing>
    </w:r>
    <w:r w:rsidRPr="00364CF0">
      <w:rPr>
        <w:sz w:val="36"/>
        <w:szCs w:val="36"/>
      </w:rPr>
      <w:t xml:space="preserve">   </w:t>
    </w:r>
  </w:p>
  <w:p w:rsidR="005D277E" w:rsidRPr="000A7C17" w:rsidRDefault="005D277E" w:rsidP="00781D69">
    <w:pPr>
      <w:rPr>
        <w:b/>
        <w:sz w:val="12"/>
        <w:szCs w:val="12"/>
      </w:rPr>
    </w:pPr>
    <w:r w:rsidRPr="000A7C17">
      <w:rPr>
        <w:noProof/>
        <w:sz w:val="12"/>
        <w:szCs w:val="12"/>
        <w:lang w:eastAsia="sl-SI"/>
      </w:rPr>
      <mc:AlternateContent>
        <mc:Choice Requires="wps">
          <w:drawing>
            <wp:anchor distT="0" distB="0" distL="114300" distR="114300" simplePos="0" relativeHeight="251658752" behindDoc="0" locked="0" layoutInCell="1" allowOverlap="1" wp14:anchorId="64F60314" wp14:editId="4CE0F726">
              <wp:simplePos x="0" y="0"/>
              <wp:positionH relativeFrom="column">
                <wp:posOffset>-914400</wp:posOffset>
              </wp:positionH>
              <wp:positionV relativeFrom="paragraph">
                <wp:posOffset>71755</wp:posOffset>
              </wp:positionV>
              <wp:extent cx="7429500" cy="0"/>
              <wp:effectExtent l="0" t="19050" r="19050" b="3810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65pt" to="51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vdFQ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" strokecolor="red" strokeweight="4.5pt"/>
          </w:pict>
        </mc:Fallback>
      </mc:AlternateContent>
    </w:r>
  </w:p>
  <w:p w:rsidR="005D277E" w:rsidRPr="000776DB" w:rsidRDefault="005D277E" w:rsidP="00781D69">
    <w:pPr>
      <w:rPr>
        <w:b/>
        <w:sz w:val="36"/>
        <w:szCs w:val="36"/>
      </w:rPr>
    </w:pPr>
    <w:r w:rsidRPr="000776DB">
      <w:rPr>
        <w:b/>
        <w:sz w:val="36"/>
        <w:szCs w:val="36"/>
      </w:rPr>
      <w:t>Povzetek poslovnega načrta 201</w:t>
    </w:r>
    <w:r>
      <w:rPr>
        <w:b/>
        <w:sz w:val="36"/>
        <w:szCs w:val="36"/>
      </w:rPr>
      <w:t>6</w:t>
    </w:r>
    <w:r w:rsidRPr="000776DB">
      <w:rPr>
        <w:b/>
        <w:sz w:val="36"/>
        <w:szCs w:val="36"/>
      </w:rPr>
      <w:t xml:space="preserve"> </w:t>
    </w:r>
  </w:p>
  <w:p w:rsidR="005D277E" w:rsidRPr="000776DB" w:rsidRDefault="005D277E" w:rsidP="00781D69">
    <w:pPr>
      <w:rPr>
        <w:sz w:val="36"/>
        <w:szCs w:val="36"/>
      </w:rPr>
    </w:pPr>
    <w:r w:rsidRPr="000776DB">
      <w:rPr>
        <w:b/>
        <w:sz w:val="36"/>
        <w:szCs w:val="36"/>
      </w:rPr>
      <w:t>z oceno poslovanja 201</w:t>
    </w:r>
    <w:r>
      <w:rPr>
        <w:b/>
        <w:sz w:val="36"/>
        <w:szCs w:val="36"/>
      </w:rPr>
      <w:t>5</w:t>
    </w:r>
  </w:p>
  <w:p w:rsidR="005D277E" w:rsidRPr="00F07A23" w:rsidRDefault="005D277E" w:rsidP="00781D69">
    <w:pPr>
      <w:rPr>
        <w:b/>
        <w:sz w:val="14"/>
        <w:szCs w:val="14"/>
      </w:rPr>
    </w:pPr>
  </w:p>
  <w:p w:rsidR="005D277E" w:rsidRPr="007D497D" w:rsidRDefault="005D277E" w:rsidP="00F07A23">
    <w:pPr>
      <w:rPr>
        <w:color w:val="FF0000"/>
        <w:sz w:val="20"/>
        <w:szCs w:val="20"/>
      </w:rPr>
    </w:pPr>
    <w:r>
      <w:rPr>
        <w:sz w:val="20"/>
        <w:szCs w:val="20"/>
      </w:rPr>
      <w:t>Celje, 16. 12.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7E" w:rsidRDefault="005D277E">
    <w:pPr>
      <w:pStyle w:val="Glava"/>
      <w:rPr>
        <w:sz w:val="20"/>
        <w:szCs w:val="20"/>
      </w:rPr>
    </w:pPr>
    <w:r>
      <w:rPr>
        <w:noProof/>
        <w:sz w:val="20"/>
        <w:szCs w:val="20"/>
        <w:lang w:eastAsia="sl-SI"/>
      </w:rPr>
      <w:drawing>
        <wp:inline distT="0" distB="0" distL="0" distR="0" wp14:anchorId="6D764152" wp14:editId="6CB4E2CB">
          <wp:extent cx="1619250" cy="323850"/>
          <wp:effectExtent l="0" t="0" r="0" b="0"/>
          <wp:docPr id="3" name="Slika 3" descr="Cink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nkar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23850"/>
                  </a:xfrm>
                  <a:prstGeom prst="rect">
                    <a:avLst/>
                  </a:prstGeom>
                  <a:noFill/>
                  <a:ln>
                    <a:noFill/>
                  </a:ln>
                </pic:spPr>
              </pic:pic>
            </a:graphicData>
          </a:graphic>
        </wp:inline>
      </w:drawing>
    </w:r>
    <w:r>
      <w:rPr>
        <w:sz w:val="20"/>
        <w:szCs w:val="20"/>
      </w:rPr>
      <w:t xml:space="preserve">                                        </w:t>
    </w:r>
    <w:hyperlink r:id="rId2" w:history="1">
      <w:r w:rsidRPr="00091B38">
        <w:rPr>
          <w:rStyle w:val="Hiperpovezava"/>
          <w:sz w:val="20"/>
          <w:szCs w:val="20"/>
        </w:rPr>
        <w:t>info@cinkarna.si</w:t>
      </w:r>
    </w:hyperlink>
    <w:r>
      <w:rPr>
        <w:sz w:val="20"/>
        <w:szCs w:val="20"/>
      </w:rPr>
      <w:t xml:space="preserve"> / </w:t>
    </w:r>
    <w:hyperlink r:id="rId3" w:history="1">
      <w:r w:rsidRPr="00091B38">
        <w:rPr>
          <w:rStyle w:val="Hiperpovezava"/>
          <w:sz w:val="20"/>
          <w:szCs w:val="20"/>
        </w:rPr>
        <w:t>www.cinkarna.si</w:t>
      </w:r>
    </w:hyperlink>
  </w:p>
  <w:p w:rsidR="005D277E" w:rsidRPr="00944001" w:rsidRDefault="005D277E">
    <w:pPr>
      <w:pStyle w:val="Glava"/>
      <w:rPr>
        <w:sz w:val="16"/>
        <w:szCs w:val="16"/>
      </w:rPr>
    </w:pPr>
    <w:r>
      <w:rPr>
        <w:noProof/>
        <w:sz w:val="20"/>
        <w:szCs w:val="20"/>
        <w:lang w:eastAsia="sl-SI"/>
      </w:rPr>
      <mc:AlternateContent>
        <mc:Choice Requires="wps">
          <w:drawing>
            <wp:anchor distT="0" distB="0" distL="114300" distR="114300" simplePos="0" relativeHeight="251656704" behindDoc="1" locked="0" layoutInCell="1" allowOverlap="1" wp14:anchorId="726D7742" wp14:editId="6C85265F">
              <wp:simplePos x="0" y="0"/>
              <wp:positionH relativeFrom="column">
                <wp:posOffset>-929005</wp:posOffset>
              </wp:positionH>
              <wp:positionV relativeFrom="paragraph">
                <wp:posOffset>213995</wp:posOffset>
              </wp:positionV>
              <wp:extent cx="7600950" cy="10191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101917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277E" w:rsidRDefault="005D277E" w:rsidP="00372ECD">
                          <w:pPr>
                            <w:rPr>
                              <w:b/>
                              <w:sz w:val="36"/>
                              <w:szCs w:val="36"/>
                            </w:rPr>
                          </w:pPr>
                          <w:r>
                            <w:rPr>
                              <w:b/>
                              <w:sz w:val="36"/>
                              <w:szCs w:val="36"/>
                            </w:rPr>
                            <w:t xml:space="preserve">Povzetek poslovnega načrta 2016 </w:t>
                          </w:r>
                        </w:p>
                        <w:p w:rsidR="005D277E" w:rsidRDefault="005D277E" w:rsidP="00372ECD">
                          <w:pPr>
                            <w:rPr>
                              <w:b/>
                              <w:sz w:val="36"/>
                              <w:szCs w:val="36"/>
                            </w:rPr>
                          </w:pPr>
                          <w:r>
                            <w:rPr>
                              <w:b/>
                              <w:sz w:val="36"/>
                              <w:szCs w:val="36"/>
                            </w:rPr>
                            <w:t>z ceno poslovanja 2015</w:t>
                          </w:r>
                        </w:p>
                        <w:p w:rsidR="005D277E" w:rsidRPr="004C0CFE" w:rsidRDefault="005D277E" w:rsidP="00372ECD">
                          <w:pPr>
                            <w:rPr>
                              <w:b/>
                              <w:sz w:val="16"/>
                              <w:szCs w:val="16"/>
                            </w:rPr>
                          </w:pPr>
                        </w:p>
                        <w:p w:rsidR="005D277E" w:rsidRDefault="005D277E" w:rsidP="00372ECD">
                          <w:pPr>
                            <w:rPr>
                              <w:sz w:val="20"/>
                              <w:szCs w:val="20"/>
                            </w:rPr>
                          </w:pPr>
                          <w:r>
                            <w:rPr>
                              <w:sz w:val="20"/>
                              <w:szCs w:val="20"/>
                            </w:rPr>
                            <w:t>Celje, 16. 12. 2015</w:t>
                          </w:r>
                        </w:p>
                        <w:p w:rsidR="005D277E" w:rsidRDefault="005D277E" w:rsidP="00372ECD">
                          <w:pPr>
                            <w:rPr>
                              <w:sz w:val="20"/>
                              <w:szCs w:val="20"/>
                            </w:rPr>
                          </w:pPr>
                        </w:p>
                        <w:p w:rsidR="005D277E" w:rsidRPr="00364CF0" w:rsidRDefault="005D277E" w:rsidP="00372ECD">
                          <w:pPr>
                            <w:rPr>
                              <w:sz w:val="20"/>
                              <w:szCs w:val="20"/>
                            </w:rPr>
                          </w:pPr>
                        </w:p>
                        <w:p w:rsidR="005D277E" w:rsidRPr="00364CF0" w:rsidRDefault="005D277E" w:rsidP="00372ECD">
                          <w:pPr>
                            <w:rPr>
                              <w:sz w:val="20"/>
                              <w:szCs w:val="20"/>
                            </w:rPr>
                          </w:pPr>
                          <w:r w:rsidRPr="00364CF0">
                            <w:rPr>
                              <w:sz w:val="20"/>
                              <w:szCs w:val="20"/>
                            </w:rPr>
                            <w:t xml:space="preserve">   </w:t>
                          </w:r>
                        </w:p>
                        <w:p w:rsidR="005D277E" w:rsidRPr="00364CF0" w:rsidRDefault="005D277E" w:rsidP="00372ECD">
                          <w:pPr>
                            <w:rPr>
                              <w:sz w:val="36"/>
                              <w:szCs w:val="36"/>
                            </w:rPr>
                          </w:pPr>
                        </w:p>
                        <w:p w:rsidR="005D277E" w:rsidRPr="00364CF0" w:rsidRDefault="005D277E" w:rsidP="00372ECD">
                          <w:pPr>
                            <w:rPr>
                              <w:sz w:val="36"/>
                              <w:szCs w:val="36"/>
                            </w:rPr>
                          </w:pPr>
                        </w:p>
                        <w:p w:rsidR="005D277E" w:rsidRPr="00364CF0" w:rsidRDefault="005D277E" w:rsidP="00372ECD">
                          <w:pPr>
                            <w:rPr>
                              <w:sz w:val="36"/>
                              <w:szCs w:val="36"/>
                            </w:rPr>
                          </w:pPr>
                        </w:p>
                        <w:p w:rsidR="005D277E" w:rsidRPr="00364CF0" w:rsidRDefault="005D277E" w:rsidP="00372ECD">
                          <w:pPr>
                            <w:rPr>
                              <w:sz w:val="36"/>
                              <w:szCs w:val="36"/>
                            </w:rPr>
                          </w:pPr>
                          <w:r w:rsidRPr="00364CF0">
                            <w:rPr>
                              <w:sz w:val="36"/>
                              <w:szCs w:val="36"/>
                            </w:rPr>
                            <w:t xml:space="preserve">                                                        </w:t>
                          </w:r>
                        </w:p>
                      </w:txbxContent>
                    </wps:txbx>
                    <wps:bodyPr rot="0" vert="horz" wrap="square" lIns="900000" tIns="90000" rIns="360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3.15pt;margin-top:16.85pt;width:598.5pt;height:8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" fillcolor="#eaeaea" stroked="f">
              <v:textbox inset="25mm,2.5mm,10mm">
                <w:txbxContent>
                  <w:p w:rsidR="008159DB" w:rsidRDefault="008159DB" w:rsidP="00372ECD">
                    <w:pPr>
                      <w:rPr>
                        <w:b/>
                        <w:sz w:val="36"/>
                        <w:szCs w:val="36"/>
                      </w:rPr>
                    </w:pPr>
                    <w:r>
                      <w:rPr>
                        <w:b/>
                        <w:sz w:val="36"/>
                        <w:szCs w:val="36"/>
                      </w:rPr>
                      <w:t xml:space="preserve">Povzetek poslovnega načrta 2016 </w:t>
                    </w:r>
                  </w:p>
                  <w:p w:rsidR="008159DB" w:rsidRDefault="008159DB" w:rsidP="00372ECD">
                    <w:pPr>
                      <w:rPr>
                        <w:b/>
                        <w:sz w:val="36"/>
                        <w:szCs w:val="36"/>
                      </w:rPr>
                    </w:pPr>
                    <w:r>
                      <w:rPr>
                        <w:b/>
                        <w:sz w:val="36"/>
                        <w:szCs w:val="36"/>
                      </w:rPr>
                      <w:t>z ceno poslovanja 2015</w:t>
                    </w:r>
                  </w:p>
                  <w:p w:rsidR="008159DB" w:rsidRPr="004C0CFE" w:rsidRDefault="008159DB" w:rsidP="00372ECD">
                    <w:pPr>
                      <w:rPr>
                        <w:b/>
                        <w:sz w:val="16"/>
                        <w:szCs w:val="16"/>
                      </w:rPr>
                    </w:pPr>
                  </w:p>
                  <w:p w:rsidR="008159DB" w:rsidRDefault="008159DB" w:rsidP="00372ECD">
                    <w:pPr>
                      <w:rPr>
                        <w:sz w:val="20"/>
                        <w:szCs w:val="20"/>
                      </w:rPr>
                    </w:pPr>
                    <w:r>
                      <w:rPr>
                        <w:sz w:val="20"/>
                        <w:szCs w:val="20"/>
                      </w:rPr>
                      <w:t>Celje, 16. 12. 2015</w:t>
                    </w:r>
                  </w:p>
                  <w:p w:rsidR="008159DB" w:rsidRDefault="008159DB" w:rsidP="00372ECD">
                    <w:pPr>
                      <w:rPr>
                        <w:sz w:val="20"/>
                        <w:szCs w:val="20"/>
                      </w:rPr>
                    </w:pPr>
                  </w:p>
                  <w:p w:rsidR="008159DB" w:rsidRPr="00364CF0" w:rsidRDefault="008159DB" w:rsidP="00372ECD">
                    <w:pPr>
                      <w:rPr>
                        <w:sz w:val="20"/>
                        <w:szCs w:val="20"/>
                      </w:rPr>
                    </w:pPr>
                  </w:p>
                  <w:p w:rsidR="008159DB" w:rsidRPr="00364CF0" w:rsidRDefault="008159DB" w:rsidP="00372ECD">
                    <w:pPr>
                      <w:rPr>
                        <w:sz w:val="20"/>
                        <w:szCs w:val="20"/>
                      </w:rPr>
                    </w:pPr>
                    <w:r w:rsidRPr="00364CF0">
                      <w:rPr>
                        <w:sz w:val="20"/>
                        <w:szCs w:val="20"/>
                      </w:rPr>
                      <w:t xml:space="preserve">   </w:t>
                    </w:r>
                  </w:p>
                  <w:p w:rsidR="008159DB" w:rsidRPr="00364CF0" w:rsidRDefault="008159DB" w:rsidP="00372ECD">
                    <w:pPr>
                      <w:rPr>
                        <w:sz w:val="36"/>
                        <w:szCs w:val="36"/>
                      </w:rPr>
                    </w:pPr>
                  </w:p>
                  <w:p w:rsidR="008159DB" w:rsidRPr="00364CF0" w:rsidRDefault="008159DB" w:rsidP="00372ECD">
                    <w:pPr>
                      <w:rPr>
                        <w:sz w:val="36"/>
                        <w:szCs w:val="36"/>
                      </w:rPr>
                    </w:pPr>
                  </w:p>
                  <w:p w:rsidR="008159DB" w:rsidRPr="00364CF0" w:rsidRDefault="008159DB" w:rsidP="00372ECD">
                    <w:pPr>
                      <w:rPr>
                        <w:sz w:val="36"/>
                        <w:szCs w:val="36"/>
                      </w:rPr>
                    </w:pPr>
                  </w:p>
                  <w:p w:rsidR="008159DB" w:rsidRPr="00364CF0" w:rsidRDefault="008159DB" w:rsidP="00372ECD">
                    <w:pPr>
                      <w:rPr>
                        <w:sz w:val="36"/>
                        <w:szCs w:val="36"/>
                      </w:rPr>
                    </w:pPr>
                    <w:r w:rsidRPr="00364CF0">
                      <w:rPr>
                        <w:sz w:val="36"/>
                        <w:szCs w:val="36"/>
                      </w:rPr>
                      <w:t xml:space="preserve">                                                        </w:t>
                    </w:r>
                  </w:p>
                </w:txbxContent>
              </v:textbox>
            </v:shape>
          </w:pict>
        </mc:Fallback>
      </mc:AlternateContent>
    </w:r>
    <w:r>
      <w:rPr>
        <w:noProof/>
        <w:sz w:val="20"/>
        <w:szCs w:val="20"/>
        <w:lang w:eastAsia="sl-SI"/>
      </w:rPr>
      <mc:AlternateContent>
        <mc:Choice Requires="wps">
          <w:drawing>
            <wp:anchor distT="0" distB="0" distL="114300" distR="114300" simplePos="0" relativeHeight="251657728" behindDoc="0" locked="0" layoutInCell="1" allowOverlap="1" wp14:anchorId="4B1DED0B" wp14:editId="561B9370">
              <wp:simplePos x="0" y="0"/>
              <wp:positionH relativeFrom="column">
                <wp:posOffset>-1143000</wp:posOffset>
              </wp:positionH>
              <wp:positionV relativeFrom="paragraph">
                <wp:posOffset>262890</wp:posOffset>
              </wp:positionV>
              <wp:extent cx="7658100" cy="0"/>
              <wp:effectExtent l="28575" t="34290" r="28575" b="3238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0.7pt" to="51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jzF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" strokecolor="red" strokeweight="4.5pt"/>
          </w:pict>
        </mc:Fallback>
      </mc:AlternateContent>
    </w:r>
    <w:r>
      <w:rPr>
        <w:sz w:val="20"/>
        <w:szCs w:val="20"/>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66853"/>
    <w:multiLevelType w:val="hybridMultilevel"/>
    <w:tmpl w:val="BF141A14"/>
    <w:lvl w:ilvl="0" w:tplc="F5BE388C">
      <w:start w:val="3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5B7C77DE"/>
    <w:multiLevelType w:val="hybridMultilevel"/>
    <w:tmpl w:val="CB367728"/>
    <w:lvl w:ilvl="0" w:tplc="819E33A6">
      <w:start w:val="1"/>
      <w:numFmt w:val="upperRoman"/>
      <w:lvlText w:val="%1."/>
      <w:lvlJc w:val="left"/>
      <w:pPr>
        <w:tabs>
          <w:tab w:val="num" w:pos="1080"/>
        </w:tabs>
        <w:ind w:left="1080" w:hanging="72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
    <w:nsid w:val="5CBF58B1"/>
    <w:multiLevelType w:val="hybridMultilevel"/>
    <w:tmpl w:val="37B6AA74"/>
    <w:lvl w:ilvl="0" w:tplc="13BC71C0">
      <w:start w:val="7"/>
      <w:numFmt w:val="bullet"/>
      <w:lvlText w:val="-"/>
      <w:lvlJc w:val="left"/>
      <w:pPr>
        <w:tabs>
          <w:tab w:val="num" w:pos="720"/>
        </w:tabs>
        <w:ind w:left="720" w:hanging="360"/>
      </w:pPr>
      <w:rPr>
        <w:rFonts w:ascii="Arial Narrow" w:eastAsia="Times New Roman" w:hAnsi="Arial Narrow"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A7"/>
    <w:rsid w:val="000078EE"/>
    <w:rsid w:val="00015DE9"/>
    <w:rsid w:val="000232DB"/>
    <w:rsid w:val="000520C2"/>
    <w:rsid w:val="00062B9F"/>
    <w:rsid w:val="000776DB"/>
    <w:rsid w:val="000A25EE"/>
    <w:rsid w:val="000A788F"/>
    <w:rsid w:val="000A7C17"/>
    <w:rsid w:val="000B4AA7"/>
    <w:rsid w:val="000D5E3C"/>
    <w:rsid w:val="000D61C5"/>
    <w:rsid w:val="000E3FB3"/>
    <w:rsid w:val="000F079E"/>
    <w:rsid w:val="000F3C1E"/>
    <w:rsid w:val="00104EF9"/>
    <w:rsid w:val="001057D3"/>
    <w:rsid w:val="00105CF6"/>
    <w:rsid w:val="001273AC"/>
    <w:rsid w:val="0013142C"/>
    <w:rsid w:val="0014346D"/>
    <w:rsid w:val="00155F3E"/>
    <w:rsid w:val="0016283E"/>
    <w:rsid w:val="001956F6"/>
    <w:rsid w:val="001C003C"/>
    <w:rsid w:val="001C0B40"/>
    <w:rsid w:val="001C4372"/>
    <w:rsid w:val="001D4C2E"/>
    <w:rsid w:val="001F6B8A"/>
    <w:rsid w:val="00201F04"/>
    <w:rsid w:val="00216B3B"/>
    <w:rsid w:val="00231E22"/>
    <w:rsid w:val="00251515"/>
    <w:rsid w:val="00251F29"/>
    <w:rsid w:val="00273E05"/>
    <w:rsid w:val="00274FEA"/>
    <w:rsid w:val="002A3D7A"/>
    <w:rsid w:val="002A498B"/>
    <w:rsid w:val="002C399D"/>
    <w:rsid w:val="002E5D2D"/>
    <w:rsid w:val="00304AB0"/>
    <w:rsid w:val="0031774D"/>
    <w:rsid w:val="003228C5"/>
    <w:rsid w:val="00323C0B"/>
    <w:rsid w:val="00337C58"/>
    <w:rsid w:val="00356B5D"/>
    <w:rsid w:val="00364CF0"/>
    <w:rsid w:val="00370946"/>
    <w:rsid w:val="00372ECD"/>
    <w:rsid w:val="003876F9"/>
    <w:rsid w:val="003976EF"/>
    <w:rsid w:val="003B5D42"/>
    <w:rsid w:val="003B7451"/>
    <w:rsid w:val="003B7C7D"/>
    <w:rsid w:val="003C3BBB"/>
    <w:rsid w:val="003C490B"/>
    <w:rsid w:val="003E2F11"/>
    <w:rsid w:val="003F68E0"/>
    <w:rsid w:val="004249C3"/>
    <w:rsid w:val="004465E6"/>
    <w:rsid w:val="00473278"/>
    <w:rsid w:val="004C0CFE"/>
    <w:rsid w:val="004C64B1"/>
    <w:rsid w:val="004E5FB7"/>
    <w:rsid w:val="0050435F"/>
    <w:rsid w:val="00510201"/>
    <w:rsid w:val="00515B53"/>
    <w:rsid w:val="00521A79"/>
    <w:rsid w:val="00526504"/>
    <w:rsid w:val="00526D5F"/>
    <w:rsid w:val="00537E6F"/>
    <w:rsid w:val="00557C04"/>
    <w:rsid w:val="005617B6"/>
    <w:rsid w:val="00561952"/>
    <w:rsid w:val="005B3D3F"/>
    <w:rsid w:val="005D277E"/>
    <w:rsid w:val="005E38EE"/>
    <w:rsid w:val="00600A47"/>
    <w:rsid w:val="00607B53"/>
    <w:rsid w:val="00644A04"/>
    <w:rsid w:val="00691442"/>
    <w:rsid w:val="006E5B4E"/>
    <w:rsid w:val="006F43D0"/>
    <w:rsid w:val="006F7B2D"/>
    <w:rsid w:val="007139FE"/>
    <w:rsid w:val="007167F2"/>
    <w:rsid w:val="00731945"/>
    <w:rsid w:val="00762DA0"/>
    <w:rsid w:val="00766D90"/>
    <w:rsid w:val="00781D69"/>
    <w:rsid w:val="0079680C"/>
    <w:rsid w:val="007A1949"/>
    <w:rsid w:val="007C1815"/>
    <w:rsid w:val="007C25EA"/>
    <w:rsid w:val="007D1A3F"/>
    <w:rsid w:val="007D497D"/>
    <w:rsid w:val="007F1F05"/>
    <w:rsid w:val="00801F93"/>
    <w:rsid w:val="0081298B"/>
    <w:rsid w:val="008159DB"/>
    <w:rsid w:val="008544F2"/>
    <w:rsid w:val="0086198E"/>
    <w:rsid w:val="00863704"/>
    <w:rsid w:val="008918A0"/>
    <w:rsid w:val="008D08BE"/>
    <w:rsid w:val="008D1C2B"/>
    <w:rsid w:val="009148B4"/>
    <w:rsid w:val="009214D4"/>
    <w:rsid w:val="009341EE"/>
    <w:rsid w:val="00944001"/>
    <w:rsid w:val="00956187"/>
    <w:rsid w:val="00957530"/>
    <w:rsid w:val="009706AC"/>
    <w:rsid w:val="00983130"/>
    <w:rsid w:val="0098667F"/>
    <w:rsid w:val="00990C01"/>
    <w:rsid w:val="009A553F"/>
    <w:rsid w:val="009B4428"/>
    <w:rsid w:val="009D102C"/>
    <w:rsid w:val="009E30BC"/>
    <w:rsid w:val="00A0028F"/>
    <w:rsid w:val="00A101D0"/>
    <w:rsid w:val="00A15F20"/>
    <w:rsid w:val="00A177D8"/>
    <w:rsid w:val="00A17C3A"/>
    <w:rsid w:val="00A23AA0"/>
    <w:rsid w:val="00A31544"/>
    <w:rsid w:val="00A52DC9"/>
    <w:rsid w:val="00A65353"/>
    <w:rsid w:val="00A677FD"/>
    <w:rsid w:val="00AA11B4"/>
    <w:rsid w:val="00AA350A"/>
    <w:rsid w:val="00AA5400"/>
    <w:rsid w:val="00AA5BF9"/>
    <w:rsid w:val="00AC75E1"/>
    <w:rsid w:val="00AD75C3"/>
    <w:rsid w:val="00B05740"/>
    <w:rsid w:val="00B25F27"/>
    <w:rsid w:val="00B25FEB"/>
    <w:rsid w:val="00B30559"/>
    <w:rsid w:val="00B329E4"/>
    <w:rsid w:val="00B4479B"/>
    <w:rsid w:val="00B6054E"/>
    <w:rsid w:val="00B65577"/>
    <w:rsid w:val="00B7191D"/>
    <w:rsid w:val="00B87E42"/>
    <w:rsid w:val="00B91EFD"/>
    <w:rsid w:val="00B930AB"/>
    <w:rsid w:val="00BA6A1B"/>
    <w:rsid w:val="00BB046E"/>
    <w:rsid w:val="00BC3A1C"/>
    <w:rsid w:val="00BC4624"/>
    <w:rsid w:val="00BF745E"/>
    <w:rsid w:val="00BF7975"/>
    <w:rsid w:val="00C045B9"/>
    <w:rsid w:val="00C20DF4"/>
    <w:rsid w:val="00C22FDD"/>
    <w:rsid w:val="00C41790"/>
    <w:rsid w:val="00C51D2A"/>
    <w:rsid w:val="00C53023"/>
    <w:rsid w:val="00C57FE8"/>
    <w:rsid w:val="00C64943"/>
    <w:rsid w:val="00C73993"/>
    <w:rsid w:val="00C753BD"/>
    <w:rsid w:val="00C92815"/>
    <w:rsid w:val="00CA1429"/>
    <w:rsid w:val="00CC05B3"/>
    <w:rsid w:val="00CC1ACE"/>
    <w:rsid w:val="00CC4891"/>
    <w:rsid w:val="00CD607B"/>
    <w:rsid w:val="00CE20EE"/>
    <w:rsid w:val="00CF3656"/>
    <w:rsid w:val="00D0682E"/>
    <w:rsid w:val="00D072F9"/>
    <w:rsid w:val="00D20817"/>
    <w:rsid w:val="00D27584"/>
    <w:rsid w:val="00D34502"/>
    <w:rsid w:val="00D4093E"/>
    <w:rsid w:val="00D70539"/>
    <w:rsid w:val="00D73459"/>
    <w:rsid w:val="00D734E6"/>
    <w:rsid w:val="00D975D8"/>
    <w:rsid w:val="00DD6BA7"/>
    <w:rsid w:val="00DF550E"/>
    <w:rsid w:val="00E01C9A"/>
    <w:rsid w:val="00E06AFC"/>
    <w:rsid w:val="00E37AAD"/>
    <w:rsid w:val="00E6319F"/>
    <w:rsid w:val="00E65539"/>
    <w:rsid w:val="00E717A7"/>
    <w:rsid w:val="00E863A6"/>
    <w:rsid w:val="00EA2FAA"/>
    <w:rsid w:val="00EC2492"/>
    <w:rsid w:val="00F07A23"/>
    <w:rsid w:val="00F1355B"/>
    <w:rsid w:val="00F17D06"/>
    <w:rsid w:val="00F2538D"/>
    <w:rsid w:val="00F50F53"/>
    <w:rsid w:val="00F572AB"/>
    <w:rsid w:val="00F62E27"/>
    <w:rsid w:val="00F66B34"/>
    <w:rsid w:val="00F67AB0"/>
    <w:rsid w:val="00F752FB"/>
    <w:rsid w:val="00F8458B"/>
    <w:rsid w:val="00FD091C"/>
    <w:rsid w:val="00FE02F8"/>
    <w:rsid w:val="00FF60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14D4"/>
    <w:pPr>
      <w:jc w:val="both"/>
    </w:pPr>
    <w:rPr>
      <w:rFonts w:ascii="Verdana" w:hAnsi="Verdana"/>
      <w:sz w:val="24"/>
      <w:szCs w:val="24"/>
      <w:lang w:eastAsia="en-US"/>
    </w:rPr>
  </w:style>
  <w:style w:type="paragraph" w:styleId="Naslov7">
    <w:name w:val="heading 7"/>
    <w:basedOn w:val="Navaden"/>
    <w:next w:val="Navaden"/>
    <w:link w:val="Naslov7Znak"/>
    <w:qFormat/>
    <w:rsid w:val="00F66B34"/>
    <w:pPr>
      <w:keepNext/>
      <w:outlineLvl w:val="6"/>
    </w:pPr>
    <w:rPr>
      <w:rFonts w:ascii="Arial Narrow" w:hAnsi="Arial Narrow"/>
      <w:b/>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D6BA7"/>
    <w:pPr>
      <w:tabs>
        <w:tab w:val="center" w:pos="4703"/>
        <w:tab w:val="right" w:pos="9406"/>
      </w:tabs>
    </w:pPr>
  </w:style>
  <w:style w:type="paragraph" w:styleId="Noga">
    <w:name w:val="footer"/>
    <w:basedOn w:val="Navaden"/>
    <w:rsid w:val="00DD6BA7"/>
    <w:pPr>
      <w:tabs>
        <w:tab w:val="center" w:pos="4703"/>
        <w:tab w:val="right" w:pos="9406"/>
      </w:tabs>
    </w:pPr>
  </w:style>
  <w:style w:type="character" w:styleId="Hiperpovezava">
    <w:name w:val="Hyperlink"/>
    <w:rsid w:val="00372ECD"/>
    <w:rPr>
      <w:color w:val="0000FF"/>
      <w:u w:val="single"/>
    </w:rPr>
  </w:style>
  <w:style w:type="character" w:styleId="tevilkastrani">
    <w:name w:val="page number"/>
    <w:basedOn w:val="Privzetapisavaodstavka"/>
    <w:rsid w:val="001273AC"/>
  </w:style>
  <w:style w:type="paragraph" w:styleId="Telobesedila">
    <w:name w:val="Body Text"/>
    <w:basedOn w:val="Navaden"/>
    <w:link w:val="TelobesedilaZnak"/>
    <w:rsid w:val="00DF550E"/>
    <w:rPr>
      <w:rFonts w:ascii="Times New Roman" w:hAnsi="Times New Roman"/>
      <w:sz w:val="20"/>
      <w:szCs w:val="20"/>
      <w:lang w:eastAsia="sl-SI"/>
    </w:rPr>
  </w:style>
  <w:style w:type="paragraph" w:styleId="Telobesedila2">
    <w:name w:val="Body Text 2"/>
    <w:basedOn w:val="Navaden"/>
    <w:rsid w:val="00DF550E"/>
    <w:pPr>
      <w:tabs>
        <w:tab w:val="left" w:pos="3686"/>
      </w:tabs>
    </w:pPr>
    <w:rPr>
      <w:rFonts w:ascii="Arial Narrow" w:hAnsi="Arial Narrow"/>
      <w:szCs w:val="20"/>
      <w:lang w:eastAsia="sl-SI"/>
    </w:rPr>
  </w:style>
  <w:style w:type="paragraph" w:styleId="Zgradbadokumenta">
    <w:name w:val="Document Map"/>
    <w:basedOn w:val="Navaden"/>
    <w:semiHidden/>
    <w:rsid w:val="005B3D3F"/>
    <w:pPr>
      <w:shd w:val="clear" w:color="auto" w:fill="000080"/>
    </w:pPr>
    <w:rPr>
      <w:rFonts w:ascii="Tahoma" w:hAnsi="Tahoma" w:cs="Tahoma"/>
      <w:sz w:val="20"/>
      <w:szCs w:val="20"/>
    </w:rPr>
  </w:style>
  <w:style w:type="character" w:customStyle="1" w:styleId="TelobesedilaZnak">
    <w:name w:val="Telo besedila Znak"/>
    <w:link w:val="Telobesedila"/>
    <w:locked/>
    <w:rsid w:val="00231E22"/>
    <w:rPr>
      <w:lang w:val="sl-SI" w:eastAsia="sl-SI" w:bidi="ar-SA"/>
    </w:rPr>
  </w:style>
  <w:style w:type="paragraph" w:styleId="Besedilooblaka">
    <w:name w:val="Balloon Text"/>
    <w:basedOn w:val="Navaden"/>
    <w:link w:val="BesedilooblakaZnak"/>
    <w:rsid w:val="004C0CFE"/>
    <w:rPr>
      <w:rFonts w:ascii="Tahoma" w:hAnsi="Tahoma" w:cs="Tahoma"/>
      <w:sz w:val="16"/>
      <w:szCs w:val="16"/>
    </w:rPr>
  </w:style>
  <w:style w:type="character" w:customStyle="1" w:styleId="BesedilooblakaZnak">
    <w:name w:val="Besedilo oblačka Znak"/>
    <w:link w:val="Besedilooblaka"/>
    <w:rsid w:val="004C0CFE"/>
    <w:rPr>
      <w:rFonts w:ascii="Tahoma" w:hAnsi="Tahoma" w:cs="Tahoma"/>
      <w:sz w:val="16"/>
      <w:szCs w:val="16"/>
      <w:lang w:eastAsia="en-US"/>
    </w:rPr>
  </w:style>
  <w:style w:type="character" w:customStyle="1" w:styleId="Naslov7Znak">
    <w:name w:val="Naslov 7 Znak"/>
    <w:basedOn w:val="Privzetapisavaodstavka"/>
    <w:link w:val="Naslov7"/>
    <w:rsid w:val="00F66B34"/>
    <w:rPr>
      <w:rFonts w:ascii="Arial Narrow" w:hAnsi="Arial Narrow"/>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14D4"/>
    <w:pPr>
      <w:jc w:val="both"/>
    </w:pPr>
    <w:rPr>
      <w:rFonts w:ascii="Verdana" w:hAnsi="Verdana"/>
      <w:sz w:val="24"/>
      <w:szCs w:val="24"/>
      <w:lang w:eastAsia="en-US"/>
    </w:rPr>
  </w:style>
  <w:style w:type="paragraph" w:styleId="Naslov7">
    <w:name w:val="heading 7"/>
    <w:basedOn w:val="Navaden"/>
    <w:next w:val="Navaden"/>
    <w:link w:val="Naslov7Znak"/>
    <w:qFormat/>
    <w:rsid w:val="00F66B34"/>
    <w:pPr>
      <w:keepNext/>
      <w:outlineLvl w:val="6"/>
    </w:pPr>
    <w:rPr>
      <w:rFonts w:ascii="Arial Narrow" w:hAnsi="Arial Narrow"/>
      <w:b/>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D6BA7"/>
    <w:pPr>
      <w:tabs>
        <w:tab w:val="center" w:pos="4703"/>
        <w:tab w:val="right" w:pos="9406"/>
      </w:tabs>
    </w:pPr>
  </w:style>
  <w:style w:type="paragraph" w:styleId="Noga">
    <w:name w:val="footer"/>
    <w:basedOn w:val="Navaden"/>
    <w:rsid w:val="00DD6BA7"/>
    <w:pPr>
      <w:tabs>
        <w:tab w:val="center" w:pos="4703"/>
        <w:tab w:val="right" w:pos="9406"/>
      </w:tabs>
    </w:pPr>
  </w:style>
  <w:style w:type="character" w:styleId="Hiperpovezava">
    <w:name w:val="Hyperlink"/>
    <w:rsid w:val="00372ECD"/>
    <w:rPr>
      <w:color w:val="0000FF"/>
      <w:u w:val="single"/>
    </w:rPr>
  </w:style>
  <w:style w:type="character" w:styleId="tevilkastrani">
    <w:name w:val="page number"/>
    <w:basedOn w:val="Privzetapisavaodstavka"/>
    <w:rsid w:val="001273AC"/>
  </w:style>
  <w:style w:type="paragraph" w:styleId="Telobesedila">
    <w:name w:val="Body Text"/>
    <w:basedOn w:val="Navaden"/>
    <w:link w:val="TelobesedilaZnak"/>
    <w:rsid w:val="00DF550E"/>
    <w:rPr>
      <w:rFonts w:ascii="Times New Roman" w:hAnsi="Times New Roman"/>
      <w:sz w:val="20"/>
      <w:szCs w:val="20"/>
      <w:lang w:eastAsia="sl-SI"/>
    </w:rPr>
  </w:style>
  <w:style w:type="paragraph" w:styleId="Telobesedila2">
    <w:name w:val="Body Text 2"/>
    <w:basedOn w:val="Navaden"/>
    <w:rsid w:val="00DF550E"/>
    <w:pPr>
      <w:tabs>
        <w:tab w:val="left" w:pos="3686"/>
      </w:tabs>
    </w:pPr>
    <w:rPr>
      <w:rFonts w:ascii="Arial Narrow" w:hAnsi="Arial Narrow"/>
      <w:szCs w:val="20"/>
      <w:lang w:eastAsia="sl-SI"/>
    </w:rPr>
  </w:style>
  <w:style w:type="paragraph" w:styleId="Zgradbadokumenta">
    <w:name w:val="Document Map"/>
    <w:basedOn w:val="Navaden"/>
    <w:semiHidden/>
    <w:rsid w:val="005B3D3F"/>
    <w:pPr>
      <w:shd w:val="clear" w:color="auto" w:fill="000080"/>
    </w:pPr>
    <w:rPr>
      <w:rFonts w:ascii="Tahoma" w:hAnsi="Tahoma" w:cs="Tahoma"/>
      <w:sz w:val="20"/>
      <w:szCs w:val="20"/>
    </w:rPr>
  </w:style>
  <w:style w:type="character" w:customStyle="1" w:styleId="TelobesedilaZnak">
    <w:name w:val="Telo besedila Znak"/>
    <w:link w:val="Telobesedila"/>
    <w:locked/>
    <w:rsid w:val="00231E22"/>
    <w:rPr>
      <w:lang w:val="sl-SI" w:eastAsia="sl-SI" w:bidi="ar-SA"/>
    </w:rPr>
  </w:style>
  <w:style w:type="paragraph" w:styleId="Besedilooblaka">
    <w:name w:val="Balloon Text"/>
    <w:basedOn w:val="Navaden"/>
    <w:link w:val="BesedilooblakaZnak"/>
    <w:rsid w:val="004C0CFE"/>
    <w:rPr>
      <w:rFonts w:ascii="Tahoma" w:hAnsi="Tahoma" w:cs="Tahoma"/>
      <w:sz w:val="16"/>
      <w:szCs w:val="16"/>
    </w:rPr>
  </w:style>
  <w:style w:type="character" w:customStyle="1" w:styleId="BesedilooblakaZnak">
    <w:name w:val="Besedilo oblačka Znak"/>
    <w:link w:val="Besedilooblaka"/>
    <w:rsid w:val="004C0CFE"/>
    <w:rPr>
      <w:rFonts w:ascii="Tahoma" w:hAnsi="Tahoma" w:cs="Tahoma"/>
      <w:sz w:val="16"/>
      <w:szCs w:val="16"/>
      <w:lang w:eastAsia="en-US"/>
    </w:rPr>
  </w:style>
  <w:style w:type="character" w:customStyle="1" w:styleId="Naslov7Znak">
    <w:name w:val="Naslov 7 Znak"/>
    <w:basedOn w:val="Privzetapisavaodstavka"/>
    <w:link w:val="Naslov7"/>
    <w:rsid w:val="00F66B34"/>
    <w:rPr>
      <w:rFonts w:ascii="Arial Narrow" w:hAnsi="Arial Narrow"/>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786099">
      <w:bodyDiv w:val="1"/>
      <w:marLeft w:val="0"/>
      <w:marRight w:val="0"/>
      <w:marTop w:val="0"/>
      <w:marBottom w:val="0"/>
      <w:divBdr>
        <w:top w:val="none" w:sz="0" w:space="0" w:color="auto"/>
        <w:left w:val="none" w:sz="0" w:space="0" w:color="auto"/>
        <w:bottom w:val="none" w:sz="0" w:space="0" w:color="auto"/>
        <w:right w:val="none" w:sz="0" w:space="0" w:color="auto"/>
      </w:divBdr>
    </w:div>
    <w:div w:id="1214390484">
      <w:bodyDiv w:val="1"/>
      <w:marLeft w:val="0"/>
      <w:marRight w:val="0"/>
      <w:marTop w:val="0"/>
      <w:marBottom w:val="0"/>
      <w:divBdr>
        <w:top w:val="none" w:sz="0" w:space="0" w:color="auto"/>
        <w:left w:val="none" w:sz="0" w:space="0" w:color="auto"/>
        <w:bottom w:val="none" w:sz="0" w:space="0" w:color="auto"/>
        <w:right w:val="none" w:sz="0" w:space="0" w:color="auto"/>
      </w:divBdr>
    </w:div>
    <w:div w:id="1518697185">
      <w:bodyDiv w:val="1"/>
      <w:marLeft w:val="0"/>
      <w:marRight w:val="0"/>
      <w:marTop w:val="0"/>
      <w:marBottom w:val="0"/>
      <w:divBdr>
        <w:top w:val="none" w:sz="0" w:space="0" w:color="auto"/>
        <w:left w:val="none" w:sz="0" w:space="0" w:color="auto"/>
        <w:bottom w:val="none" w:sz="0" w:space="0" w:color="auto"/>
        <w:right w:val="none" w:sz="0" w:space="0" w:color="auto"/>
      </w:divBdr>
    </w:div>
    <w:div w:id="1553728963">
      <w:bodyDiv w:val="1"/>
      <w:marLeft w:val="0"/>
      <w:marRight w:val="0"/>
      <w:marTop w:val="0"/>
      <w:marBottom w:val="0"/>
      <w:divBdr>
        <w:top w:val="none" w:sz="0" w:space="0" w:color="auto"/>
        <w:left w:val="none" w:sz="0" w:space="0" w:color="auto"/>
        <w:bottom w:val="none" w:sz="0" w:space="0" w:color="auto"/>
        <w:right w:val="none" w:sz="0" w:space="0" w:color="auto"/>
      </w:divBdr>
    </w:div>
    <w:div w:id="1663771004">
      <w:bodyDiv w:val="1"/>
      <w:marLeft w:val="0"/>
      <w:marRight w:val="0"/>
      <w:marTop w:val="0"/>
      <w:marBottom w:val="0"/>
      <w:divBdr>
        <w:top w:val="none" w:sz="0" w:space="0" w:color="auto"/>
        <w:left w:val="none" w:sz="0" w:space="0" w:color="auto"/>
        <w:bottom w:val="none" w:sz="0" w:space="0" w:color="auto"/>
        <w:right w:val="none" w:sz="0" w:space="0" w:color="auto"/>
      </w:divBdr>
    </w:div>
    <w:div w:id="1843885443">
      <w:bodyDiv w:val="1"/>
      <w:marLeft w:val="0"/>
      <w:marRight w:val="0"/>
      <w:marTop w:val="0"/>
      <w:marBottom w:val="0"/>
      <w:divBdr>
        <w:top w:val="none" w:sz="0" w:space="0" w:color="auto"/>
        <w:left w:val="none" w:sz="0" w:space="0" w:color="auto"/>
        <w:bottom w:val="none" w:sz="0" w:space="0" w:color="auto"/>
        <w:right w:val="none" w:sz="0" w:space="0" w:color="auto"/>
      </w:divBdr>
    </w:div>
    <w:div w:id="202513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hyperlink" Target="http://www.cinkarna.si" TargetMode="External"/><Relationship Id="rId2" Type="http://schemas.openxmlformats.org/officeDocument/2006/relationships/hyperlink" Target="mailto:info@cinkarna.si" TargetMode="External"/><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3359</Words>
  <Characters>19148</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ETH0 -</Company>
  <LinksUpToDate>false</LinksUpToDate>
  <CharactersWithSpaces>22463</CharactersWithSpaces>
  <SharedDoc>false</SharedDoc>
  <HLinks>
    <vt:vector size="12" baseType="variant">
      <vt:variant>
        <vt:i4>7209010</vt:i4>
      </vt:variant>
      <vt:variant>
        <vt:i4>11</vt:i4>
      </vt:variant>
      <vt:variant>
        <vt:i4>0</vt:i4>
      </vt:variant>
      <vt:variant>
        <vt:i4>5</vt:i4>
      </vt:variant>
      <vt:variant>
        <vt:lpwstr>http://www.cinkarna.si/</vt:lpwstr>
      </vt:variant>
      <vt:variant>
        <vt:lpwstr/>
      </vt:variant>
      <vt:variant>
        <vt:i4>5177447</vt:i4>
      </vt:variant>
      <vt:variant>
        <vt:i4>8</vt:i4>
      </vt:variant>
      <vt:variant>
        <vt:i4>0</vt:i4>
      </vt:variant>
      <vt:variant>
        <vt:i4>5</vt:i4>
      </vt:variant>
      <vt:variant>
        <vt:lpwstr>mailto:info@cinkarna.si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Jure Vengust</cp:lastModifiedBy>
  <cp:revision>2</cp:revision>
  <cp:lastPrinted>2015-12-14T15:01:00Z</cp:lastPrinted>
  <dcterms:created xsi:type="dcterms:W3CDTF">2015-12-14T15:04:00Z</dcterms:created>
  <dcterms:modified xsi:type="dcterms:W3CDTF">2015-12-14T15:04:00Z</dcterms:modified>
</cp:coreProperties>
</file>