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1EC" w:rsidRPr="00762214" w:rsidRDefault="001E51EC" w:rsidP="001E51EC">
      <w:pPr>
        <w:spacing w:after="200" w:line="276" w:lineRule="auto"/>
        <w:jc w:val="center"/>
        <w:rPr>
          <w:rFonts w:asciiTheme="minorHAnsi" w:hAnsiTheme="minorHAnsi"/>
          <w:b/>
          <w:sz w:val="22"/>
        </w:rPr>
      </w:pPr>
    </w:p>
    <w:p w:rsidR="0060323F" w:rsidRDefault="0060323F" w:rsidP="0060323F">
      <w:pPr>
        <w:spacing w:after="200" w:line="276" w:lineRule="auto"/>
        <w:rPr>
          <w:rFonts w:asciiTheme="minorHAnsi" w:hAnsiTheme="minorHAnsi"/>
          <w:b/>
          <w:sz w:val="22"/>
        </w:rPr>
      </w:pPr>
    </w:p>
    <w:p w:rsidR="001E51EC" w:rsidRPr="00C3026E" w:rsidRDefault="001E51EC" w:rsidP="0053503D">
      <w:pPr>
        <w:spacing w:after="200" w:line="276" w:lineRule="auto"/>
        <w:rPr>
          <w:rFonts w:asciiTheme="minorHAnsi" w:hAnsiTheme="minorHAnsi"/>
          <w:sz w:val="22"/>
        </w:rPr>
      </w:pPr>
      <w:r w:rsidRPr="00C3026E">
        <w:rPr>
          <w:rFonts w:asciiTheme="minorHAnsi" w:hAnsiTheme="minorHAnsi"/>
          <w:b/>
          <w:sz w:val="22"/>
        </w:rPr>
        <w:t>P</w:t>
      </w:r>
      <w:r w:rsidR="00511730" w:rsidRPr="00C3026E">
        <w:rPr>
          <w:rFonts w:asciiTheme="minorHAnsi" w:hAnsiTheme="minorHAnsi"/>
          <w:b/>
          <w:sz w:val="22"/>
        </w:rPr>
        <w:t xml:space="preserve">oslovanje </w:t>
      </w:r>
      <w:r w:rsidRPr="00C3026E">
        <w:rPr>
          <w:rFonts w:asciiTheme="minorHAnsi" w:hAnsiTheme="minorHAnsi"/>
          <w:b/>
          <w:sz w:val="22"/>
        </w:rPr>
        <w:t>skupine Sava Re in Pozavarovalnice Sava, d. d., v letu 2015</w:t>
      </w:r>
      <w:r w:rsidR="00511730" w:rsidRPr="00C3026E">
        <w:rPr>
          <w:rFonts w:asciiTheme="minorHAnsi" w:hAnsiTheme="minorHAnsi"/>
          <w:b/>
          <w:sz w:val="22"/>
        </w:rPr>
        <w:t xml:space="preserve"> ter načrti za leto 2016</w:t>
      </w:r>
    </w:p>
    <w:p w:rsidR="0060323F" w:rsidRPr="00C3026E" w:rsidRDefault="0060323F" w:rsidP="00FA5041">
      <w:pPr>
        <w:spacing w:after="200" w:line="276" w:lineRule="auto"/>
        <w:rPr>
          <w:rFonts w:asciiTheme="minorHAnsi" w:hAnsiTheme="minorHAnsi"/>
          <w:sz w:val="22"/>
        </w:rPr>
      </w:pPr>
    </w:p>
    <w:p w:rsidR="001E51EC" w:rsidRPr="00C3026E" w:rsidRDefault="001E51EC" w:rsidP="00FA5041">
      <w:pPr>
        <w:spacing w:after="200" w:line="276" w:lineRule="auto"/>
        <w:rPr>
          <w:rFonts w:asciiTheme="minorHAnsi" w:hAnsiTheme="minorHAnsi"/>
          <w:sz w:val="22"/>
        </w:rPr>
      </w:pPr>
      <w:r w:rsidRPr="00C3026E">
        <w:rPr>
          <w:rFonts w:asciiTheme="minorHAnsi" w:hAnsiTheme="minorHAnsi"/>
          <w:sz w:val="22"/>
        </w:rPr>
        <w:t xml:space="preserve">Za skupino Sava Re je bilo leto 2015 uspešno </w:t>
      </w:r>
      <w:r w:rsidR="00FA5041" w:rsidRPr="00C3026E">
        <w:rPr>
          <w:rFonts w:asciiTheme="minorHAnsi" w:hAnsiTheme="minorHAnsi"/>
          <w:sz w:val="22"/>
        </w:rPr>
        <w:t xml:space="preserve">in </w:t>
      </w:r>
      <w:r w:rsidRPr="00C3026E">
        <w:rPr>
          <w:rFonts w:asciiTheme="minorHAnsi" w:hAnsiTheme="minorHAnsi"/>
          <w:sz w:val="22"/>
        </w:rPr>
        <w:t>v marsikaterem pogledu prelomno</w:t>
      </w:r>
      <w:r w:rsidR="00FA5041" w:rsidRPr="00C3026E">
        <w:rPr>
          <w:rFonts w:asciiTheme="minorHAnsi" w:hAnsiTheme="minorHAnsi"/>
          <w:sz w:val="22"/>
        </w:rPr>
        <w:t>:</w:t>
      </w:r>
    </w:p>
    <w:p w:rsidR="00FA5041" w:rsidRPr="00C3026E" w:rsidRDefault="00FA5041" w:rsidP="00FA5041">
      <w:pPr>
        <w:spacing w:line="24" w:lineRule="atLeast"/>
        <w:rPr>
          <w:rFonts w:asciiTheme="minorHAnsi" w:hAnsiTheme="minorHAnsi"/>
          <w:i/>
          <w:sz w:val="22"/>
        </w:rPr>
      </w:pPr>
      <w:r w:rsidRPr="00C3026E">
        <w:rPr>
          <w:rFonts w:asciiTheme="minorHAnsi" w:hAnsiTheme="minorHAnsi"/>
          <w:i/>
          <w:sz w:val="22"/>
        </w:rPr>
        <w:t xml:space="preserve">Nova, sodobna in močna regionalna zavarovalnica </w:t>
      </w:r>
    </w:p>
    <w:p w:rsidR="001E51EC" w:rsidRPr="00C3026E" w:rsidRDefault="00FA5041" w:rsidP="001527AF">
      <w:pPr>
        <w:spacing w:line="24" w:lineRule="atLeast"/>
        <w:rPr>
          <w:rFonts w:asciiTheme="minorHAnsi" w:eastAsiaTheme="minorHAnsi" w:hAnsiTheme="minorHAnsi" w:cstheme="minorBidi"/>
          <w:sz w:val="22"/>
        </w:rPr>
      </w:pPr>
      <w:r w:rsidRPr="00C3026E">
        <w:rPr>
          <w:rFonts w:asciiTheme="minorHAnsi" w:hAnsiTheme="minorHAnsi"/>
          <w:sz w:val="22"/>
        </w:rPr>
        <w:t xml:space="preserve">Uprava </w:t>
      </w:r>
      <w:r w:rsidR="001E51EC" w:rsidRPr="00C3026E">
        <w:rPr>
          <w:rFonts w:asciiTheme="minorHAnsi" w:hAnsiTheme="minorHAnsi"/>
          <w:sz w:val="22"/>
        </w:rPr>
        <w:t xml:space="preserve">Pozavarovalnice Sava </w:t>
      </w:r>
      <w:r w:rsidRPr="00C3026E">
        <w:rPr>
          <w:rFonts w:asciiTheme="minorHAnsi" w:hAnsiTheme="minorHAnsi"/>
          <w:sz w:val="22"/>
        </w:rPr>
        <w:t xml:space="preserve">je </w:t>
      </w:r>
      <w:r w:rsidR="001E51EC" w:rsidRPr="00C3026E">
        <w:rPr>
          <w:rFonts w:asciiTheme="minorHAnsi" w:hAnsiTheme="minorHAnsi"/>
          <w:sz w:val="22"/>
        </w:rPr>
        <w:t xml:space="preserve">sprejela odločitev o združevanju družb v </w:t>
      </w:r>
      <w:r w:rsidRPr="00C3026E">
        <w:rPr>
          <w:rFonts w:asciiTheme="minorHAnsi" w:hAnsiTheme="minorHAnsi"/>
          <w:sz w:val="22"/>
        </w:rPr>
        <w:t xml:space="preserve">skupini s sedežem v državah EU, </w:t>
      </w:r>
      <w:r w:rsidR="001E51EC" w:rsidRPr="00C3026E">
        <w:rPr>
          <w:rFonts w:asciiTheme="minorHAnsi" w:eastAsiaTheme="minorHAnsi" w:hAnsiTheme="minorHAnsi" w:cstheme="minorBidi"/>
          <w:sz w:val="22"/>
        </w:rPr>
        <w:t>Zavarovalnic</w:t>
      </w:r>
      <w:r w:rsidRPr="00C3026E">
        <w:rPr>
          <w:rFonts w:asciiTheme="minorHAnsi" w:eastAsiaTheme="minorHAnsi" w:hAnsiTheme="minorHAnsi" w:cstheme="minorBidi"/>
          <w:sz w:val="22"/>
        </w:rPr>
        <w:t>e</w:t>
      </w:r>
      <w:r w:rsidR="001E51EC" w:rsidRPr="00C3026E">
        <w:rPr>
          <w:rFonts w:asciiTheme="minorHAnsi" w:eastAsiaTheme="minorHAnsi" w:hAnsiTheme="minorHAnsi" w:cstheme="minorBidi"/>
          <w:sz w:val="22"/>
        </w:rPr>
        <w:t xml:space="preserve"> Maribor</w:t>
      </w:r>
      <w:r w:rsidRPr="00C3026E">
        <w:rPr>
          <w:rFonts w:asciiTheme="minorHAnsi" w:eastAsiaTheme="minorHAnsi" w:hAnsiTheme="minorHAnsi" w:cstheme="minorBidi"/>
          <w:sz w:val="22"/>
        </w:rPr>
        <w:t xml:space="preserve">, </w:t>
      </w:r>
      <w:r w:rsidR="001E51EC" w:rsidRPr="00C3026E">
        <w:rPr>
          <w:rFonts w:asciiTheme="minorHAnsi" w:eastAsiaTheme="minorHAnsi" w:hAnsiTheme="minorHAnsi" w:cstheme="minorBidi"/>
          <w:sz w:val="22"/>
        </w:rPr>
        <w:t>Zavarovalnic</w:t>
      </w:r>
      <w:r w:rsidRPr="00C3026E">
        <w:rPr>
          <w:rFonts w:asciiTheme="minorHAnsi" w:eastAsiaTheme="minorHAnsi" w:hAnsiTheme="minorHAnsi" w:cstheme="minorBidi"/>
          <w:sz w:val="22"/>
        </w:rPr>
        <w:t>e</w:t>
      </w:r>
      <w:r w:rsidR="001E51EC" w:rsidRPr="00C3026E">
        <w:rPr>
          <w:rFonts w:asciiTheme="minorHAnsi" w:eastAsiaTheme="minorHAnsi" w:hAnsiTheme="minorHAnsi" w:cstheme="minorBidi"/>
          <w:sz w:val="22"/>
        </w:rPr>
        <w:t xml:space="preserve"> Tilia </w:t>
      </w:r>
      <w:r w:rsidRPr="00C3026E">
        <w:rPr>
          <w:rFonts w:asciiTheme="minorHAnsi" w:eastAsiaTheme="minorHAnsi" w:hAnsiTheme="minorHAnsi" w:cstheme="minorBidi"/>
          <w:sz w:val="22"/>
        </w:rPr>
        <w:t>ter</w:t>
      </w:r>
      <w:r w:rsidR="001E51EC" w:rsidRPr="00C3026E">
        <w:rPr>
          <w:rFonts w:asciiTheme="minorHAnsi" w:eastAsiaTheme="minorHAnsi" w:hAnsiTheme="minorHAnsi" w:cstheme="minorBidi"/>
          <w:sz w:val="22"/>
        </w:rPr>
        <w:t xml:space="preserve"> hrvaški</w:t>
      </w:r>
      <w:r w:rsidRPr="00C3026E">
        <w:rPr>
          <w:rFonts w:asciiTheme="minorHAnsi" w:eastAsiaTheme="minorHAnsi" w:hAnsiTheme="minorHAnsi" w:cstheme="minorBidi"/>
          <w:sz w:val="22"/>
        </w:rPr>
        <w:t>h družb</w:t>
      </w:r>
      <w:r w:rsidR="001E51EC" w:rsidRPr="00C3026E">
        <w:rPr>
          <w:rFonts w:asciiTheme="minorHAnsi" w:eastAsiaTheme="minorHAnsi" w:hAnsiTheme="minorHAnsi" w:cstheme="minorBidi"/>
          <w:sz w:val="22"/>
        </w:rPr>
        <w:t xml:space="preserve"> Velebit osiguranje </w:t>
      </w:r>
      <w:r w:rsidRPr="00C3026E">
        <w:rPr>
          <w:rFonts w:asciiTheme="minorHAnsi" w:eastAsiaTheme="minorHAnsi" w:hAnsiTheme="minorHAnsi" w:cstheme="minorBidi"/>
          <w:sz w:val="22"/>
        </w:rPr>
        <w:t>in</w:t>
      </w:r>
      <w:r w:rsidR="001E51EC" w:rsidRPr="00C3026E">
        <w:rPr>
          <w:rFonts w:asciiTheme="minorHAnsi" w:eastAsiaTheme="minorHAnsi" w:hAnsiTheme="minorHAnsi" w:cstheme="minorBidi"/>
          <w:sz w:val="22"/>
        </w:rPr>
        <w:t xml:space="preserve"> Velebit životno osiguranje. </w:t>
      </w:r>
      <w:r w:rsidR="007E3445" w:rsidRPr="00C3026E">
        <w:rPr>
          <w:rFonts w:asciiTheme="minorHAnsi" w:eastAsiaTheme="minorHAnsi" w:hAnsiTheme="minorHAnsi" w:cstheme="minorBidi"/>
          <w:sz w:val="22"/>
        </w:rPr>
        <w:t>D</w:t>
      </w:r>
      <w:r w:rsidR="001E51EC" w:rsidRPr="00C3026E">
        <w:rPr>
          <w:rFonts w:asciiTheme="minorHAnsi" w:eastAsiaTheme="minorHAnsi" w:hAnsiTheme="minorHAnsi" w:cstheme="minorBidi"/>
          <w:sz w:val="22"/>
        </w:rPr>
        <w:t xml:space="preserve">o konca leta </w:t>
      </w:r>
      <w:r w:rsidR="007E3445" w:rsidRPr="00C3026E">
        <w:rPr>
          <w:rFonts w:asciiTheme="minorHAnsi" w:eastAsiaTheme="minorHAnsi" w:hAnsiTheme="minorHAnsi" w:cstheme="minorBidi"/>
          <w:sz w:val="22"/>
        </w:rPr>
        <w:t xml:space="preserve">bo tako </w:t>
      </w:r>
      <w:r w:rsidR="001E51EC" w:rsidRPr="00C3026E">
        <w:rPr>
          <w:rFonts w:asciiTheme="minorHAnsi" w:eastAsiaTheme="minorHAnsi" w:hAnsiTheme="minorHAnsi" w:cstheme="minorBidi"/>
          <w:sz w:val="22"/>
        </w:rPr>
        <w:t>nastala nova združena zavarovalnica,</w:t>
      </w:r>
      <w:r w:rsidRPr="00C3026E">
        <w:rPr>
          <w:rFonts w:asciiTheme="minorHAnsi" w:eastAsiaTheme="minorHAnsi" w:hAnsiTheme="minorHAnsi" w:cstheme="minorBidi"/>
          <w:sz w:val="22"/>
        </w:rPr>
        <w:t xml:space="preserve"> s </w:t>
      </w:r>
      <w:r w:rsidR="001E51EC" w:rsidRPr="00C3026E">
        <w:rPr>
          <w:rFonts w:asciiTheme="minorHAnsi" w:eastAsiaTheme="minorHAnsi" w:hAnsiTheme="minorHAnsi" w:cstheme="minorBidi"/>
          <w:sz w:val="22"/>
        </w:rPr>
        <w:t>sedež</w:t>
      </w:r>
      <w:r w:rsidRPr="00C3026E">
        <w:rPr>
          <w:rFonts w:asciiTheme="minorHAnsi" w:eastAsiaTheme="minorHAnsi" w:hAnsiTheme="minorHAnsi" w:cstheme="minorBidi"/>
          <w:sz w:val="22"/>
        </w:rPr>
        <w:t xml:space="preserve">em </w:t>
      </w:r>
      <w:r w:rsidR="007E3445" w:rsidRPr="00C3026E">
        <w:rPr>
          <w:rFonts w:asciiTheme="minorHAnsi" w:eastAsiaTheme="minorHAnsi" w:hAnsiTheme="minorHAnsi" w:cstheme="minorBidi"/>
          <w:sz w:val="22"/>
        </w:rPr>
        <w:t>v Mariboru, ki bo drugi največji ponudnik zavarovanj v regiji.</w:t>
      </w:r>
    </w:p>
    <w:p w:rsidR="00FA5041" w:rsidRPr="00C3026E" w:rsidRDefault="00FA5041" w:rsidP="001527AF">
      <w:pPr>
        <w:spacing w:line="24" w:lineRule="atLeast"/>
        <w:rPr>
          <w:rFonts w:asciiTheme="minorHAnsi" w:eastAsiaTheme="minorHAnsi" w:hAnsiTheme="minorHAnsi" w:cstheme="minorBidi"/>
          <w:sz w:val="22"/>
        </w:rPr>
      </w:pPr>
    </w:p>
    <w:p w:rsidR="00FA5041" w:rsidRPr="00C3026E" w:rsidRDefault="00FA5041" w:rsidP="001527AF">
      <w:pPr>
        <w:spacing w:line="24" w:lineRule="atLeast"/>
        <w:rPr>
          <w:rFonts w:asciiTheme="minorHAnsi" w:eastAsiaTheme="minorHAnsi" w:hAnsiTheme="minorHAnsi" w:cstheme="minorBidi"/>
          <w:i/>
          <w:sz w:val="22"/>
        </w:rPr>
      </w:pPr>
      <w:r w:rsidRPr="00C3026E">
        <w:rPr>
          <w:rFonts w:asciiTheme="minorHAnsi" w:eastAsiaTheme="minorHAnsi" w:hAnsiTheme="minorHAnsi" w:cstheme="minorBidi"/>
          <w:i/>
          <w:sz w:val="22"/>
        </w:rPr>
        <w:t>Nadgradnja bonitetne ocene</w:t>
      </w:r>
    </w:p>
    <w:p w:rsidR="001E51EC" w:rsidRPr="00C3026E" w:rsidRDefault="001E51EC" w:rsidP="001527AF">
      <w:pPr>
        <w:spacing w:line="24" w:lineRule="atLeast"/>
        <w:rPr>
          <w:rFonts w:asciiTheme="minorHAnsi" w:eastAsiaTheme="minorHAnsi" w:hAnsiTheme="minorHAnsi" w:cstheme="minorBidi"/>
          <w:sz w:val="22"/>
        </w:rPr>
      </w:pPr>
      <w:r w:rsidRPr="00C3026E">
        <w:rPr>
          <w:rFonts w:asciiTheme="minorHAnsi" w:eastAsiaTheme="minorHAnsi" w:hAnsiTheme="minorHAnsi" w:cstheme="minorBidi"/>
          <w:sz w:val="22"/>
        </w:rPr>
        <w:t xml:space="preserve">Avgusta 2015 je bonitetna hiša Standard &amp; Poor's Pozavarovalnici Sava </w:t>
      </w:r>
      <w:r w:rsidR="00FA5041" w:rsidRPr="00C3026E">
        <w:rPr>
          <w:rFonts w:asciiTheme="minorHAnsi" w:eastAsiaTheme="minorHAnsi" w:hAnsiTheme="minorHAnsi" w:cstheme="minorBidi"/>
          <w:sz w:val="22"/>
        </w:rPr>
        <w:t xml:space="preserve">ponovno </w:t>
      </w:r>
      <w:r w:rsidRPr="00C3026E">
        <w:rPr>
          <w:rFonts w:asciiTheme="minorHAnsi" w:eastAsiaTheme="minorHAnsi" w:hAnsiTheme="minorHAnsi" w:cstheme="minorBidi"/>
          <w:sz w:val="22"/>
        </w:rPr>
        <w:t xml:space="preserve">zvišala </w:t>
      </w:r>
      <w:r w:rsidRPr="00C3026E">
        <w:rPr>
          <w:rFonts w:asciiTheme="minorHAnsi" w:hAnsiTheme="minorHAnsi"/>
          <w:sz w:val="22"/>
        </w:rPr>
        <w:t xml:space="preserve">bonitetno oceno finančne moči na "A–" (močna) s stabilnimi obeti. </w:t>
      </w:r>
      <w:r w:rsidR="001527AF" w:rsidRPr="00C3026E">
        <w:rPr>
          <w:rFonts w:asciiTheme="minorHAnsi" w:eastAsiaTheme="minorHAnsi" w:hAnsiTheme="minorHAnsi" w:cstheme="minorBidi"/>
          <w:sz w:val="22"/>
        </w:rPr>
        <w:t>Izboljšana ocena</w:t>
      </w:r>
      <w:r w:rsidRPr="00C3026E">
        <w:rPr>
          <w:rFonts w:asciiTheme="minorHAnsi" w:eastAsiaTheme="minorHAnsi" w:hAnsiTheme="minorHAnsi" w:cstheme="minorBidi"/>
          <w:sz w:val="22"/>
        </w:rPr>
        <w:t xml:space="preserve"> bo omogočil</w:t>
      </w:r>
      <w:r w:rsidR="001527AF" w:rsidRPr="00C3026E">
        <w:rPr>
          <w:rFonts w:asciiTheme="minorHAnsi" w:eastAsiaTheme="minorHAnsi" w:hAnsiTheme="minorHAnsi" w:cstheme="minorBidi"/>
          <w:sz w:val="22"/>
        </w:rPr>
        <w:t xml:space="preserve">a </w:t>
      </w:r>
      <w:r w:rsidRPr="00C3026E">
        <w:rPr>
          <w:rFonts w:asciiTheme="minorHAnsi" w:eastAsiaTheme="minorHAnsi" w:hAnsiTheme="minorHAnsi" w:cstheme="minorBidi"/>
          <w:sz w:val="22"/>
        </w:rPr>
        <w:t xml:space="preserve">nadaljnjo rast na mednarodnih pozavarovalnih trgih </w:t>
      </w:r>
      <w:r w:rsidR="001527AF" w:rsidRPr="00C3026E">
        <w:rPr>
          <w:rFonts w:asciiTheme="minorHAnsi" w:eastAsiaTheme="minorHAnsi" w:hAnsiTheme="minorHAnsi" w:cstheme="minorBidi"/>
          <w:sz w:val="22"/>
        </w:rPr>
        <w:t>in</w:t>
      </w:r>
      <w:r w:rsidRPr="00C3026E">
        <w:rPr>
          <w:rFonts w:asciiTheme="minorHAnsi" w:eastAsiaTheme="minorHAnsi" w:hAnsiTheme="minorHAnsi" w:cstheme="minorBidi"/>
          <w:sz w:val="22"/>
        </w:rPr>
        <w:t xml:space="preserve"> krepitev tega</w:t>
      </w:r>
      <w:r w:rsidR="00FA5041" w:rsidRPr="00C3026E">
        <w:rPr>
          <w:rFonts w:asciiTheme="minorHAnsi" w:eastAsiaTheme="minorHAnsi" w:hAnsiTheme="minorHAnsi" w:cstheme="minorBidi"/>
          <w:sz w:val="22"/>
        </w:rPr>
        <w:t xml:space="preserve"> odseka </w:t>
      </w:r>
      <w:r w:rsidRPr="00C3026E">
        <w:rPr>
          <w:rFonts w:asciiTheme="minorHAnsi" w:eastAsiaTheme="minorHAnsi" w:hAnsiTheme="minorHAnsi" w:cstheme="minorBidi"/>
          <w:sz w:val="22"/>
        </w:rPr>
        <w:t>poslovanja v s</w:t>
      </w:r>
      <w:r w:rsidR="001527AF" w:rsidRPr="00C3026E">
        <w:rPr>
          <w:rFonts w:asciiTheme="minorHAnsi" w:eastAsiaTheme="minorHAnsi" w:hAnsiTheme="minorHAnsi" w:cstheme="minorBidi"/>
          <w:sz w:val="22"/>
        </w:rPr>
        <w:t>estavi premije skupine.</w:t>
      </w:r>
    </w:p>
    <w:p w:rsidR="001527AF" w:rsidRPr="00C3026E" w:rsidRDefault="001527AF" w:rsidP="00FA5041">
      <w:pPr>
        <w:spacing w:line="24" w:lineRule="atLeast"/>
        <w:jc w:val="left"/>
        <w:rPr>
          <w:rFonts w:asciiTheme="minorHAnsi" w:eastAsiaTheme="minorHAnsi" w:hAnsiTheme="minorHAnsi" w:cstheme="minorBidi"/>
          <w:sz w:val="22"/>
        </w:rPr>
      </w:pPr>
    </w:p>
    <w:p w:rsidR="001527AF" w:rsidRPr="00C3026E" w:rsidRDefault="005F66B5" w:rsidP="001527AF">
      <w:pPr>
        <w:spacing w:line="24" w:lineRule="atLeast"/>
        <w:rPr>
          <w:rFonts w:asciiTheme="minorHAnsi" w:eastAsiaTheme="minorHAnsi" w:hAnsiTheme="minorHAnsi" w:cstheme="minorBidi"/>
          <w:i/>
          <w:sz w:val="22"/>
        </w:rPr>
      </w:pPr>
      <w:r w:rsidRPr="00C3026E">
        <w:rPr>
          <w:rFonts w:asciiTheme="minorHAnsi" w:eastAsiaTheme="minorHAnsi" w:hAnsiTheme="minorHAnsi" w:cstheme="minorBidi"/>
          <w:i/>
          <w:sz w:val="22"/>
        </w:rPr>
        <w:t>Razvoj p</w:t>
      </w:r>
      <w:r w:rsidR="001527AF" w:rsidRPr="00C3026E">
        <w:rPr>
          <w:rFonts w:asciiTheme="minorHAnsi" w:eastAsiaTheme="minorHAnsi" w:hAnsiTheme="minorHAnsi" w:cstheme="minorBidi"/>
          <w:i/>
          <w:sz w:val="22"/>
        </w:rPr>
        <w:t>okojninsk</w:t>
      </w:r>
      <w:r w:rsidRPr="00C3026E">
        <w:rPr>
          <w:rFonts w:asciiTheme="minorHAnsi" w:eastAsiaTheme="minorHAnsi" w:hAnsiTheme="minorHAnsi" w:cstheme="minorBidi"/>
          <w:i/>
          <w:sz w:val="22"/>
        </w:rPr>
        <w:t>ih</w:t>
      </w:r>
      <w:r w:rsidR="001527AF" w:rsidRPr="00C3026E">
        <w:rPr>
          <w:rFonts w:asciiTheme="minorHAnsi" w:eastAsiaTheme="minorHAnsi" w:hAnsiTheme="minorHAnsi" w:cstheme="minorBidi"/>
          <w:i/>
          <w:sz w:val="22"/>
        </w:rPr>
        <w:t xml:space="preserve"> zavarovanj</w:t>
      </w:r>
      <w:r w:rsidRPr="00C3026E">
        <w:rPr>
          <w:rFonts w:asciiTheme="minorHAnsi" w:eastAsiaTheme="minorHAnsi" w:hAnsiTheme="minorHAnsi" w:cstheme="minorBidi"/>
          <w:i/>
          <w:sz w:val="22"/>
        </w:rPr>
        <w:t xml:space="preserve"> del strategije skupine Sava Re</w:t>
      </w:r>
    </w:p>
    <w:p w:rsidR="001E51EC" w:rsidRPr="00C3026E" w:rsidRDefault="001E51EC" w:rsidP="001527AF">
      <w:pPr>
        <w:spacing w:line="24" w:lineRule="atLeast"/>
        <w:rPr>
          <w:rFonts w:asciiTheme="minorHAnsi" w:eastAsiaTheme="minorHAnsi" w:hAnsiTheme="minorHAnsi" w:cstheme="minorBidi"/>
          <w:sz w:val="22"/>
        </w:rPr>
      </w:pPr>
      <w:r w:rsidRPr="00C3026E">
        <w:rPr>
          <w:rFonts w:asciiTheme="minorHAnsi" w:eastAsiaTheme="minorHAnsi" w:hAnsiTheme="minorHAnsi" w:cstheme="minorBidi"/>
          <w:sz w:val="22"/>
        </w:rPr>
        <w:t xml:space="preserve">V letu 2015 je Pozavarovalnica Sava pridobila </w:t>
      </w:r>
      <w:r w:rsidR="001527AF" w:rsidRPr="00C3026E">
        <w:rPr>
          <w:rFonts w:asciiTheme="minorHAnsi" w:eastAsiaTheme="minorHAnsi" w:hAnsiTheme="minorHAnsi" w:cstheme="minorBidi"/>
          <w:sz w:val="22"/>
        </w:rPr>
        <w:t>stoodstotno</w:t>
      </w:r>
      <w:r w:rsidRPr="00C3026E">
        <w:rPr>
          <w:rFonts w:asciiTheme="minorHAnsi" w:eastAsiaTheme="minorHAnsi" w:hAnsiTheme="minorHAnsi" w:cstheme="minorBidi"/>
          <w:sz w:val="22"/>
        </w:rPr>
        <w:t xml:space="preserve"> lastništvo v družb</w:t>
      </w:r>
      <w:r w:rsidR="001527AF" w:rsidRPr="00C3026E">
        <w:rPr>
          <w:rFonts w:asciiTheme="minorHAnsi" w:eastAsiaTheme="minorHAnsi" w:hAnsiTheme="minorHAnsi" w:cstheme="minorBidi"/>
          <w:sz w:val="22"/>
        </w:rPr>
        <w:t>i</w:t>
      </w:r>
      <w:r w:rsidRPr="00C3026E">
        <w:rPr>
          <w:rFonts w:asciiTheme="minorHAnsi" w:eastAsiaTheme="minorHAnsi" w:hAnsiTheme="minorHAnsi" w:cstheme="minorBidi"/>
          <w:sz w:val="22"/>
        </w:rPr>
        <w:t xml:space="preserve"> Moja naložba</w:t>
      </w:r>
      <w:r w:rsidR="001527AF" w:rsidRPr="00C3026E">
        <w:rPr>
          <w:rFonts w:asciiTheme="minorHAnsi" w:eastAsiaTheme="minorHAnsi" w:hAnsiTheme="minorHAnsi" w:cstheme="minorBidi"/>
          <w:sz w:val="22"/>
        </w:rPr>
        <w:t xml:space="preserve"> pokojninska družba. S</w:t>
      </w:r>
      <w:r w:rsidRPr="00C3026E">
        <w:rPr>
          <w:rFonts w:asciiTheme="minorHAnsi" w:eastAsiaTheme="minorHAnsi" w:hAnsiTheme="minorHAnsi" w:cstheme="minorBidi"/>
          <w:sz w:val="22"/>
        </w:rPr>
        <w:t xml:space="preserve"> tem </w:t>
      </w:r>
      <w:r w:rsidR="001527AF" w:rsidRPr="00C3026E">
        <w:rPr>
          <w:rFonts w:asciiTheme="minorHAnsi" w:eastAsiaTheme="minorHAnsi" w:hAnsiTheme="minorHAnsi" w:cstheme="minorBidi"/>
          <w:sz w:val="22"/>
        </w:rPr>
        <w:t xml:space="preserve">je </w:t>
      </w:r>
      <w:r w:rsidRPr="00C3026E">
        <w:rPr>
          <w:rFonts w:asciiTheme="minorHAnsi" w:eastAsiaTheme="minorHAnsi" w:hAnsiTheme="minorHAnsi" w:cstheme="minorBidi"/>
          <w:sz w:val="22"/>
        </w:rPr>
        <w:t xml:space="preserve">aktivno vstopila </w:t>
      </w:r>
      <w:r w:rsidR="001527AF" w:rsidRPr="00C3026E">
        <w:rPr>
          <w:rFonts w:asciiTheme="minorHAnsi" w:eastAsiaTheme="minorHAnsi" w:hAnsiTheme="minorHAnsi" w:cstheme="minorBidi"/>
          <w:sz w:val="22"/>
        </w:rPr>
        <w:t xml:space="preserve">na področje </w:t>
      </w:r>
      <w:r w:rsidRPr="00C3026E">
        <w:rPr>
          <w:rFonts w:asciiTheme="minorHAnsi" w:eastAsiaTheme="minorHAnsi" w:hAnsiTheme="minorHAnsi" w:cstheme="minorBidi"/>
          <w:sz w:val="22"/>
        </w:rPr>
        <w:t>pokojninskih zavarovanj</w:t>
      </w:r>
      <w:r w:rsidR="001527AF" w:rsidRPr="00C3026E">
        <w:rPr>
          <w:rFonts w:asciiTheme="minorHAnsi" w:eastAsiaTheme="minorHAnsi" w:hAnsiTheme="minorHAnsi" w:cstheme="minorBidi"/>
          <w:sz w:val="22"/>
        </w:rPr>
        <w:t>, ki bodo del strategije skupine.</w:t>
      </w:r>
    </w:p>
    <w:p w:rsidR="001E51EC" w:rsidRPr="00C3026E" w:rsidRDefault="001E51EC" w:rsidP="001E51EC">
      <w:pPr>
        <w:rPr>
          <w:rFonts w:asciiTheme="minorHAnsi" w:hAnsiTheme="minorHAnsi"/>
          <w:sz w:val="22"/>
        </w:rPr>
      </w:pPr>
    </w:p>
    <w:p w:rsidR="001E51EC" w:rsidRPr="00C3026E" w:rsidRDefault="001E51EC" w:rsidP="001E51EC">
      <w:pPr>
        <w:rPr>
          <w:rFonts w:asciiTheme="minorHAnsi" w:hAnsiTheme="minorHAnsi"/>
          <w:sz w:val="22"/>
        </w:rPr>
      </w:pPr>
      <w:r w:rsidRPr="00C3026E">
        <w:rPr>
          <w:rFonts w:asciiTheme="minorHAnsi" w:hAnsiTheme="minorHAnsi"/>
          <w:sz w:val="22"/>
        </w:rPr>
        <w:t xml:space="preserve">Poleg </w:t>
      </w:r>
      <w:r w:rsidR="001527AF" w:rsidRPr="00C3026E">
        <w:rPr>
          <w:rFonts w:asciiTheme="minorHAnsi" w:hAnsiTheme="minorHAnsi"/>
          <w:sz w:val="22"/>
        </w:rPr>
        <w:t xml:space="preserve">navedenih </w:t>
      </w:r>
      <w:r w:rsidR="00722D1E" w:rsidRPr="00C3026E">
        <w:rPr>
          <w:rFonts w:asciiTheme="minorHAnsi" w:hAnsiTheme="minorHAnsi"/>
          <w:sz w:val="22"/>
        </w:rPr>
        <w:t>ključnih dogodkov preteklega leta</w:t>
      </w:r>
      <w:r w:rsidRPr="00C3026E">
        <w:rPr>
          <w:rFonts w:asciiTheme="minorHAnsi" w:hAnsiTheme="minorHAnsi"/>
          <w:sz w:val="22"/>
        </w:rPr>
        <w:t xml:space="preserve">, ki so strateškega pomena </w:t>
      </w:r>
      <w:r w:rsidR="00722D1E" w:rsidRPr="00C3026E">
        <w:rPr>
          <w:rFonts w:asciiTheme="minorHAnsi" w:hAnsiTheme="minorHAnsi"/>
          <w:sz w:val="22"/>
        </w:rPr>
        <w:t>za dolgoročen razvoj skupine</w:t>
      </w:r>
      <w:r w:rsidRPr="00C3026E">
        <w:rPr>
          <w:rFonts w:asciiTheme="minorHAnsi" w:hAnsiTheme="minorHAnsi"/>
          <w:sz w:val="22"/>
        </w:rPr>
        <w:t xml:space="preserve">, skupina </w:t>
      </w:r>
      <w:r w:rsidR="00722D1E" w:rsidRPr="00C3026E">
        <w:rPr>
          <w:rFonts w:asciiTheme="minorHAnsi" w:hAnsiTheme="minorHAnsi"/>
          <w:sz w:val="22"/>
        </w:rPr>
        <w:t xml:space="preserve">Sava Re </w:t>
      </w:r>
      <w:r w:rsidRPr="00C3026E">
        <w:rPr>
          <w:rFonts w:asciiTheme="minorHAnsi" w:hAnsiTheme="minorHAnsi"/>
          <w:sz w:val="22"/>
        </w:rPr>
        <w:t xml:space="preserve">v letu 2015 beleži </w:t>
      </w:r>
      <w:r w:rsidR="00722D1E" w:rsidRPr="00C3026E">
        <w:rPr>
          <w:rFonts w:asciiTheme="minorHAnsi" w:hAnsiTheme="minorHAnsi"/>
          <w:sz w:val="22"/>
        </w:rPr>
        <w:t xml:space="preserve">tudi </w:t>
      </w:r>
      <w:r w:rsidRPr="00C3026E">
        <w:rPr>
          <w:rFonts w:asciiTheme="minorHAnsi" w:hAnsiTheme="minorHAnsi"/>
          <w:sz w:val="22"/>
        </w:rPr>
        <w:t>odlične rezultate.</w:t>
      </w:r>
    </w:p>
    <w:p w:rsidR="001E51EC" w:rsidRPr="00C3026E" w:rsidRDefault="001E51EC" w:rsidP="001E51EC">
      <w:pPr>
        <w:rPr>
          <w:rFonts w:asciiTheme="minorHAnsi" w:hAnsiTheme="minorHAnsi"/>
          <w:sz w:val="22"/>
        </w:rPr>
      </w:pPr>
    </w:p>
    <w:p w:rsidR="00511730" w:rsidRPr="00C3026E" w:rsidRDefault="00511730" w:rsidP="00511730">
      <w:pPr>
        <w:rPr>
          <w:rFonts w:asciiTheme="minorHAnsi" w:hAnsiTheme="minorHAnsi"/>
          <w:i/>
          <w:sz w:val="22"/>
        </w:rPr>
      </w:pPr>
      <w:r w:rsidRPr="00C3026E">
        <w:rPr>
          <w:rFonts w:asciiTheme="minorHAnsi" w:hAnsiTheme="minorHAnsi"/>
          <w:i/>
          <w:sz w:val="22"/>
        </w:rPr>
        <w:t>Rezultat preteklega leta zopet rekorden</w:t>
      </w:r>
    </w:p>
    <w:p w:rsidR="00511730" w:rsidRPr="00C3026E" w:rsidRDefault="00511730" w:rsidP="00511730">
      <w:pPr>
        <w:rPr>
          <w:rFonts w:asciiTheme="minorHAnsi" w:hAnsiTheme="minorHAnsi"/>
          <w:sz w:val="22"/>
        </w:rPr>
      </w:pPr>
      <w:r w:rsidRPr="00C3026E">
        <w:rPr>
          <w:rFonts w:asciiTheme="minorHAnsi" w:hAnsiTheme="minorHAnsi"/>
          <w:sz w:val="22"/>
        </w:rPr>
        <w:t xml:space="preserve">Skupina Sava Re je leto 2015 zaključila nad načrti. Zabeležila je za 9,3 </w:t>
      </w:r>
      <w:r w:rsidR="0002780F">
        <w:rPr>
          <w:rFonts w:asciiTheme="minorHAnsi" w:hAnsiTheme="minorHAnsi"/>
          <w:sz w:val="22"/>
        </w:rPr>
        <w:t>odstotka</w:t>
      </w:r>
      <w:r w:rsidRPr="00C3026E">
        <w:rPr>
          <w:rFonts w:asciiTheme="minorHAnsi" w:hAnsiTheme="minorHAnsi"/>
          <w:sz w:val="22"/>
        </w:rPr>
        <w:t xml:space="preserve"> višji čisti dobiček kot leta 2014. </w:t>
      </w:r>
      <w:r w:rsidRPr="00C3026E">
        <w:rPr>
          <w:rFonts w:asciiTheme="minorHAnsi" w:hAnsiTheme="minorHAnsi"/>
          <w:b/>
          <w:sz w:val="22"/>
        </w:rPr>
        <w:t>Čisti poslovni izid</w:t>
      </w:r>
      <w:r w:rsidRPr="00C3026E">
        <w:rPr>
          <w:rFonts w:asciiTheme="minorHAnsi" w:hAnsiTheme="minorHAnsi"/>
          <w:sz w:val="22"/>
        </w:rPr>
        <w:t xml:space="preserve"> leta 2015 je tako znašal 33,4</w:t>
      </w:r>
      <w:r w:rsidR="0002780F">
        <w:rPr>
          <w:rFonts w:asciiTheme="minorHAnsi" w:hAnsiTheme="minorHAnsi"/>
          <w:sz w:val="22"/>
        </w:rPr>
        <w:t xml:space="preserve"> milijona evrov</w:t>
      </w:r>
      <w:r w:rsidRPr="00C3026E">
        <w:rPr>
          <w:rFonts w:asciiTheme="minorHAnsi" w:hAnsiTheme="minorHAnsi"/>
          <w:sz w:val="22"/>
        </w:rPr>
        <w:t xml:space="preserve"> in je presegel načrtovanega za 10,9 </w:t>
      </w:r>
      <w:r w:rsidR="0002780F">
        <w:rPr>
          <w:rFonts w:asciiTheme="minorHAnsi" w:hAnsiTheme="minorHAnsi"/>
          <w:sz w:val="22"/>
        </w:rPr>
        <w:t>odstotka</w:t>
      </w:r>
      <w:r w:rsidRPr="00C3026E">
        <w:rPr>
          <w:rFonts w:asciiTheme="minorHAnsi" w:hAnsiTheme="minorHAnsi"/>
          <w:sz w:val="22"/>
        </w:rPr>
        <w:t xml:space="preserve">. K porastu čistega dobička je največ prispeval odsek premoženjskih zavarovanj v Sloveniji, katerega dobiček pred obdavčitvijo je znašal 24 milijonov </w:t>
      </w:r>
      <w:r w:rsidR="0002780F">
        <w:rPr>
          <w:rFonts w:asciiTheme="minorHAnsi" w:hAnsiTheme="minorHAnsi"/>
          <w:sz w:val="22"/>
        </w:rPr>
        <w:t>evrov</w:t>
      </w:r>
      <w:r w:rsidRPr="00C3026E">
        <w:rPr>
          <w:rFonts w:asciiTheme="minorHAnsi" w:hAnsiTheme="minorHAnsi"/>
          <w:sz w:val="22"/>
        </w:rPr>
        <w:t xml:space="preserve">. Izboljšanje je predvsem posledica odličnega rezultata Zavarovalnice Maribor, ki je dosegla najvišji rezultat poslovanja od </w:t>
      </w:r>
      <w:r w:rsidR="00C5384E">
        <w:rPr>
          <w:rFonts w:asciiTheme="minorHAnsi" w:hAnsiTheme="minorHAnsi"/>
          <w:sz w:val="22"/>
        </w:rPr>
        <w:t>za</w:t>
      </w:r>
      <w:r w:rsidRPr="00C3026E">
        <w:rPr>
          <w:rFonts w:asciiTheme="minorHAnsi" w:hAnsiTheme="minorHAnsi"/>
          <w:sz w:val="22"/>
        </w:rPr>
        <w:t xml:space="preserve">četka svojega delovanja. Boljše kot v letu 2014 je posloval tudi odsek premoženjskih zavarovanj izven Slovenije. Odsek pozavarovanja in odsek življenjskih zavarovanj izven Slovenije sta poslovala slabše kot leta 2014. Odsek pozavarovanja je v lanskem letu prizadel večji škodni dogodek (eksplozija v pristanišču </w:t>
      </w:r>
      <w:proofErr w:type="spellStart"/>
      <w:r w:rsidRPr="00C3026E">
        <w:rPr>
          <w:rFonts w:asciiTheme="minorHAnsi" w:hAnsiTheme="minorHAnsi"/>
          <w:sz w:val="22"/>
        </w:rPr>
        <w:t>Tianjin</w:t>
      </w:r>
      <w:proofErr w:type="spellEnd"/>
      <w:r w:rsidRPr="00C3026E">
        <w:rPr>
          <w:rFonts w:asciiTheme="minorHAnsi" w:hAnsiTheme="minorHAnsi"/>
          <w:sz w:val="22"/>
        </w:rPr>
        <w:t xml:space="preserve"> na Kitajskem), kar je pomembno vplivalo na dobičkovnost tega odseka.</w:t>
      </w:r>
    </w:p>
    <w:p w:rsidR="001E51EC" w:rsidRPr="00C3026E" w:rsidRDefault="001E51EC" w:rsidP="001E51EC">
      <w:pPr>
        <w:rPr>
          <w:rFonts w:asciiTheme="minorHAnsi" w:hAnsiTheme="minorHAnsi"/>
          <w:sz w:val="22"/>
        </w:rPr>
      </w:pPr>
    </w:p>
    <w:p w:rsidR="00762214" w:rsidRPr="00C3026E" w:rsidRDefault="00762214" w:rsidP="00511730">
      <w:pPr>
        <w:rPr>
          <w:rFonts w:asciiTheme="minorHAnsi" w:hAnsiTheme="minorHAnsi"/>
          <w:i/>
          <w:sz w:val="22"/>
        </w:rPr>
      </w:pPr>
      <w:r w:rsidRPr="00C3026E">
        <w:rPr>
          <w:rFonts w:asciiTheme="minorHAnsi" w:hAnsiTheme="minorHAnsi"/>
          <w:i/>
          <w:sz w:val="22"/>
        </w:rPr>
        <w:t xml:space="preserve">Rast kosmate premije </w:t>
      </w:r>
    </w:p>
    <w:p w:rsidR="00511730" w:rsidRPr="00C3026E" w:rsidRDefault="00A32E21" w:rsidP="00511730">
      <w:pPr>
        <w:rPr>
          <w:rFonts w:asciiTheme="minorHAnsi" w:hAnsiTheme="minorHAnsi"/>
          <w:sz w:val="22"/>
        </w:rPr>
      </w:pPr>
      <w:r w:rsidRPr="00C3026E">
        <w:rPr>
          <w:rFonts w:asciiTheme="minorHAnsi" w:hAnsiTheme="minorHAnsi"/>
          <w:sz w:val="22"/>
        </w:rPr>
        <w:t>Skupina je v letu 2015 zbrala</w:t>
      </w:r>
      <w:r w:rsidRPr="00C3026E">
        <w:rPr>
          <w:rFonts w:asciiTheme="minorHAnsi" w:hAnsiTheme="minorHAnsi"/>
          <w:b/>
          <w:sz w:val="22"/>
        </w:rPr>
        <w:t xml:space="preserve"> </w:t>
      </w:r>
      <w:r w:rsidR="00511730" w:rsidRPr="00C3026E">
        <w:rPr>
          <w:rFonts w:asciiTheme="minorHAnsi" w:hAnsiTheme="minorHAnsi"/>
          <w:sz w:val="22"/>
        </w:rPr>
        <w:t xml:space="preserve">486,3 milijona </w:t>
      </w:r>
      <w:r w:rsidR="0002780F">
        <w:rPr>
          <w:rFonts w:asciiTheme="minorHAnsi" w:hAnsiTheme="minorHAnsi"/>
          <w:sz w:val="22"/>
        </w:rPr>
        <w:t>evrov</w:t>
      </w:r>
      <w:r w:rsidR="0002780F" w:rsidRPr="00C3026E">
        <w:rPr>
          <w:rFonts w:asciiTheme="minorHAnsi" w:hAnsiTheme="minorHAnsi"/>
          <w:sz w:val="22"/>
        </w:rPr>
        <w:t xml:space="preserve"> </w:t>
      </w:r>
      <w:r w:rsidRPr="00C3026E">
        <w:rPr>
          <w:rFonts w:asciiTheme="minorHAnsi" w:hAnsiTheme="minorHAnsi"/>
          <w:b/>
          <w:sz w:val="22"/>
        </w:rPr>
        <w:t>kosmate premije</w:t>
      </w:r>
      <w:r w:rsidRPr="00C3026E">
        <w:rPr>
          <w:rFonts w:asciiTheme="minorHAnsi" w:hAnsiTheme="minorHAnsi"/>
          <w:sz w:val="22"/>
        </w:rPr>
        <w:t>, kar je</w:t>
      </w:r>
      <w:r w:rsidRPr="00C3026E">
        <w:rPr>
          <w:rFonts w:asciiTheme="minorHAnsi" w:hAnsiTheme="minorHAnsi"/>
          <w:b/>
          <w:sz w:val="22"/>
        </w:rPr>
        <w:t xml:space="preserve"> </w:t>
      </w:r>
      <w:r w:rsidR="00511730" w:rsidRPr="00C3026E">
        <w:rPr>
          <w:rFonts w:asciiTheme="minorHAnsi" w:hAnsiTheme="minorHAnsi"/>
          <w:sz w:val="22"/>
        </w:rPr>
        <w:t>za 3,9</w:t>
      </w:r>
      <w:r w:rsidR="00E55664">
        <w:rPr>
          <w:rFonts w:asciiTheme="minorHAnsi" w:hAnsiTheme="minorHAnsi"/>
          <w:sz w:val="22"/>
        </w:rPr>
        <w:t xml:space="preserve"> odstotka </w:t>
      </w:r>
      <w:r w:rsidR="0002780F">
        <w:rPr>
          <w:rFonts w:asciiTheme="minorHAnsi" w:hAnsiTheme="minorHAnsi"/>
          <w:sz w:val="22"/>
        </w:rPr>
        <w:t>več</w:t>
      </w:r>
      <w:r w:rsidR="00511730" w:rsidRPr="00C3026E">
        <w:rPr>
          <w:rFonts w:asciiTheme="minorHAnsi" w:hAnsiTheme="minorHAnsi"/>
          <w:sz w:val="22"/>
        </w:rPr>
        <w:t xml:space="preserve"> </w:t>
      </w:r>
      <w:r w:rsidRPr="00C3026E">
        <w:rPr>
          <w:rFonts w:asciiTheme="minorHAnsi" w:hAnsiTheme="minorHAnsi"/>
          <w:sz w:val="22"/>
        </w:rPr>
        <w:t>kot leta 2014.</w:t>
      </w:r>
      <w:r w:rsidR="00511730" w:rsidRPr="00C3026E">
        <w:rPr>
          <w:rFonts w:asciiTheme="minorHAnsi" w:hAnsiTheme="minorHAnsi"/>
          <w:sz w:val="22"/>
        </w:rPr>
        <w:t xml:space="preserve"> </w:t>
      </w:r>
      <w:r w:rsidR="0002780F" w:rsidRPr="0002780F">
        <w:rPr>
          <w:rFonts w:asciiTheme="minorHAnsi" w:hAnsiTheme="minorHAnsi"/>
          <w:sz w:val="22"/>
        </w:rPr>
        <w:t>Čeprav so trenutno cene na pozavarovalnih trgih nizke,</w:t>
      </w:r>
      <w:r w:rsidR="00E13EB5" w:rsidRPr="00C3026E">
        <w:rPr>
          <w:rFonts w:asciiTheme="minorHAnsi" w:hAnsiTheme="minorHAnsi"/>
          <w:sz w:val="22"/>
        </w:rPr>
        <w:t xml:space="preserve"> r</w:t>
      </w:r>
      <w:r w:rsidR="00511730" w:rsidRPr="00C3026E">
        <w:rPr>
          <w:rFonts w:asciiTheme="minorHAnsi" w:hAnsiTheme="minorHAnsi"/>
          <w:sz w:val="22"/>
        </w:rPr>
        <w:t xml:space="preserve">ast izvira </w:t>
      </w:r>
      <w:r w:rsidRPr="00C3026E">
        <w:rPr>
          <w:rFonts w:asciiTheme="minorHAnsi" w:hAnsiTheme="minorHAnsi"/>
          <w:sz w:val="22"/>
        </w:rPr>
        <w:t xml:space="preserve">pretežno </w:t>
      </w:r>
      <w:r w:rsidR="00511730" w:rsidRPr="00C3026E">
        <w:rPr>
          <w:rFonts w:asciiTheme="minorHAnsi" w:hAnsiTheme="minorHAnsi"/>
          <w:sz w:val="22"/>
        </w:rPr>
        <w:t>iz pozavarovanja na mednarodnih pozavarovalnih trgih</w:t>
      </w:r>
      <w:r w:rsidRPr="00C3026E">
        <w:rPr>
          <w:rFonts w:asciiTheme="minorHAnsi" w:hAnsiTheme="minorHAnsi"/>
          <w:sz w:val="22"/>
        </w:rPr>
        <w:t xml:space="preserve"> in znaša</w:t>
      </w:r>
      <w:r w:rsidR="00E13EB5" w:rsidRPr="00C3026E">
        <w:rPr>
          <w:rFonts w:asciiTheme="minorHAnsi" w:hAnsiTheme="minorHAnsi"/>
          <w:sz w:val="22"/>
        </w:rPr>
        <w:t xml:space="preserve"> </w:t>
      </w:r>
      <w:r w:rsidR="0002780F" w:rsidRPr="00C3026E">
        <w:rPr>
          <w:rFonts w:asciiTheme="minorHAnsi" w:hAnsiTheme="minorHAnsi"/>
          <w:sz w:val="22"/>
        </w:rPr>
        <w:t>27,0</w:t>
      </w:r>
      <w:r w:rsidR="0002780F">
        <w:rPr>
          <w:rFonts w:asciiTheme="minorHAnsi" w:hAnsiTheme="minorHAnsi"/>
          <w:sz w:val="22"/>
        </w:rPr>
        <w:t xml:space="preserve"> odstotkov </w:t>
      </w:r>
      <w:r w:rsidR="00E13EB5" w:rsidRPr="00C3026E">
        <w:rPr>
          <w:rFonts w:asciiTheme="minorHAnsi" w:hAnsiTheme="minorHAnsi"/>
          <w:sz w:val="22"/>
        </w:rPr>
        <w:t>v letu 2015</w:t>
      </w:r>
      <w:r w:rsidR="00511730" w:rsidRPr="00C3026E">
        <w:rPr>
          <w:rFonts w:asciiTheme="minorHAnsi" w:hAnsiTheme="minorHAnsi"/>
          <w:sz w:val="22"/>
        </w:rPr>
        <w:t>. V Sloveniji je bila premija nekoliko nižja kot v letu 2014 (1,4</w:t>
      </w:r>
      <w:r w:rsidR="0002780F">
        <w:rPr>
          <w:rFonts w:asciiTheme="minorHAnsi" w:hAnsiTheme="minorHAnsi"/>
          <w:sz w:val="22"/>
        </w:rPr>
        <w:t xml:space="preserve"> odstotkov</w:t>
      </w:r>
      <w:r w:rsidR="00511730" w:rsidRPr="00C3026E">
        <w:rPr>
          <w:rFonts w:asciiTheme="minorHAnsi" w:hAnsiTheme="minorHAnsi"/>
          <w:sz w:val="22"/>
        </w:rPr>
        <w:t>)</w:t>
      </w:r>
      <w:r w:rsidRPr="00C3026E">
        <w:rPr>
          <w:rFonts w:asciiTheme="minorHAnsi" w:hAnsiTheme="minorHAnsi"/>
          <w:sz w:val="22"/>
        </w:rPr>
        <w:t>,</w:t>
      </w:r>
      <w:r w:rsidR="00511730" w:rsidRPr="00C3026E">
        <w:rPr>
          <w:rFonts w:asciiTheme="minorHAnsi" w:hAnsiTheme="minorHAnsi"/>
          <w:sz w:val="22"/>
        </w:rPr>
        <w:t xml:space="preserve"> predvsem </w:t>
      </w:r>
      <w:r w:rsidR="0002780F">
        <w:rPr>
          <w:rFonts w:asciiTheme="minorHAnsi" w:hAnsiTheme="minorHAnsi"/>
          <w:sz w:val="22"/>
        </w:rPr>
        <w:t>zaradi</w:t>
      </w:r>
      <w:r w:rsidR="00511730" w:rsidRPr="00C3026E">
        <w:rPr>
          <w:rFonts w:asciiTheme="minorHAnsi" w:hAnsiTheme="minorHAnsi"/>
          <w:sz w:val="22"/>
        </w:rPr>
        <w:t xml:space="preserve"> življenjskih zavarovanj</w:t>
      </w:r>
      <w:r w:rsidRPr="00C3026E">
        <w:rPr>
          <w:rFonts w:asciiTheme="minorHAnsi" w:hAnsiTheme="minorHAnsi"/>
          <w:sz w:val="22"/>
        </w:rPr>
        <w:t>, in sicer</w:t>
      </w:r>
      <w:r w:rsidR="00511730" w:rsidRPr="00C3026E">
        <w:rPr>
          <w:rFonts w:asciiTheme="minorHAnsi" w:hAnsiTheme="minorHAnsi"/>
          <w:sz w:val="22"/>
        </w:rPr>
        <w:t xml:space="preserve"> za</w:t>
      </w:r>
      <w:r w:rsidRPr="00C3026E">
        <w:rPr>
          <w:rFonts w:asciiTheme="minorHAnsi" w:hAnsiTheme="minorHAnsi"/>
          <w:sz w:val="22"/>
        </w:rPr>
        <w:t>radi večjega števila doživetij</w:t>
      </w:r>
      <w:r w:rsidR="00E13EB5" w:rsidRPr="00C3026E">
        <w:rPr>
          <w:rFonts w:asciiTheme="minorHAnsi" w:hAnsiTheme="minorHAnsi"/>
          <w:sz w:val="22"/>
        </w:rPr>
        <w:t xml:space="preserve">. Kljub oteženim razmeram na nekaterih trgih zahodnega Balkana so </w:t>
      </w:r>
      <w:r w:rsidR="00511730" w:rsidRPr="00C3026E">
        <w:rPr>
          <w:rFonts w:asciiTheme="minorHAnsi" w:hAnsiTheme="minorHAnsi"/>
          <w:sz w:val="22"/>
        </w:rPr>
        <w:t xml:space="preserve">zavarovanja izven Slovenije </w:t>
      </w:r>
      <w:r w:rsidR="00E13EB5" w:rsidRPr="00C3026E">
        <w:rPr>
          <w:rFonts w:asciiTheme="minorHAnsi" w:hAnsiTheme="minorHAnsi"/>
          <w:sz w:val="22"/>
        </w:rPr>
        <w:t xml:space="preserve">v skupnem seštevku </w:t>
      </w:r>
      <w:r w:rsidR="00511730" w:rsidRPr="00C3026E">
        <w:rPr>
          <w:rFonts w:asciiTheme="minorHAnsi" w:hAnsiTheme="minorHAnsi"/>
          <w:sz w:val="22"/>
        </w:rPr>
        <w:t>beležila 3,5</w:t>
      </w:r>
      <w:r w:rsidR="0002780F">
        <w:rPr>
          <w:rFonts w:asciiTheme="minorHAnsi" w:hAnsiTheme="minorHAnsi"/>
          <w:sz w:val="22"/>
        </w:rPr>
        <w:t>-odstotno</w:t>
      </w:r>
      <w:r w:rsidR="00511730" w:rsidRPr="00C3026E">
        <w:rPr>
          <w:rFonts w:asciiTheme="minorHAnsi" w:hAnsiTheme="minorHAnsi"/>
          <w:sz w:val="22"/>
        </w:rPr>
        <w:t xml:space="preserve"> rast.</w:t>
      </w:r>
    </w:p>
    <w:p w:rsidR="00511730" w:rsidRPr="00C3026E" w:rsidRDefault="00511730" w:rsidP="00511730">
      <w:pPr>
        <w:rPr>
          <w:rFonts w:asciiTheme="minorHAnsi" w:hAnsiTheme="minorHAnsi"/>
          <w:sz w:val="22"/>
        </w:rPr>
      </w:pPr>
    </w:p>
    <w:p w:rsidR="00762214" w:rsidRPr="00C3026E" w:rsidRDefault="00762214" w:rsidP="00511730">
      <w:pPr>
        <w:rPr>
          <w:rFonts w:asciiTheme="minorHAnsi" w:hAnsiTheme="minorHAnsi"/>
          <w:i/>
          <w:sz w:val="22"/>
        </w:rPr>
      </w:pPr>
      <w:r w:rsidRPr="00C3026E">
        <w:rPr>
          <w:rFonts w:asciiTheme="minorHAnsi" w:hAnsiTheme="minorHAnsi"/>
          <w:i/>
          <w:sz w:val="22"/>
        </w:rPr>
        <w:t xml:space="preserve">Tečajne razlike in katastrofalni dogodki z manjšim negativnim učinkom </w:t>
      </w:r>
    </w:p>
    <w:p w:rsidR="00511730" w:rsidRPr="00C3026E" w:rsidRDefault="00511730" w:rsidP="00511730">
      <w:pPr>
        <w:rPr>
          <w:rFonts w:asciiTheme="minorHAnsi" w:hAnsiTheme="minorHAnsi"/>
          <w:sz w:val="22"/>
        </w:rPr>
      </w:pPr>
      <w:r w:rsidRPr="00C3026E">
        <w:rPr>
          <w:rFonts w:asciiTheme="minorHAnsi" w:hAnsiTheme="minorHAnsi"/>
          <w:b/>
          <w:sz w:val="22"/>
        </w:rPr>
        <w:t>Čisti kombinirani količnik</w:t>
      </w:r>
      <w:r w:rsidRPr="00C3026E">
        <w:rPr>
          <w:rFonts w:asciiTheme="minorHAnsi" w:hAnsiTheme="minorHAnsi"/>
          <w:sz w:val="22"/>
        </w:rPr>
        <w:t xml:space="preserve"> skupine je v letu 2015 znašal 95,9</w:t>
      </w:r>
      <w:bookmarkStart w:id="0" w:name="_GoBack"/>
      <w:bookmarkEnd w:id="0"/>
      <w:r w:rsidRPr="00C3026E">
        <w:rPr>
          <w:rFonts w:asciiTheme="minorHAnsi" w:hAnsiTheme="minorHAnsi"/>
          <w:sz w:val="22"/>
        </w:rPr>
        <w:t> </w:t>
      </w:r>
      <w:r w:rsidR="0002780F">
        <w:rPr>
          <w:rFonts w:asciiTheme="minorHAnsi" w:hAnsiTheme="minorHAnsi"/>
          <w:sz w:val="22"/>
        </w:rPr>
        <w:t>odstotka</w:t>
      </w:r>
      <w:r w:rsidRPr="00C3026E">
        <w:rPr>
          <w:rFonts w:asciiTheme="minorHAnsi" w:hAnsiTheme="minorHAnsi"/>
          <w:sz w:val="22"/>
        </w:rPr>
        <w:t xml:space="preserve"> in je bil za 0,4 odstotne točke višji kot v 2014, </w:t>
      </w:r>
      <w:r w:rsidR="00762214" w:rsidRPr="00C3026E">
        <w:rPr>
          <w:rFonts w:asciiTheme="minorHAnsi" w:hAnsiTheme="minorHAnsi"/>
          <w:sz w:val="22"/>
        </w:rPr>
        <w:t>vendar še vedno za 0,6</w:t>
      </w:r>
      <w:r w:rsidR="0002780F">
        <w:rPr>
          <w:rFonts w:asciiTheme="minorHAnsi" w:hAnsiTheme="minorHAnsi"/>
          <w:sz w:val="22"/>
        </w:rPr>
        <w:t> odstotka</w:t>
      </w:r>
      <w:r w:rsidRPr="00C3026E">
        <w:rPr>
          <w:rFonts w:asciiTheme="minorHAnsi" w:hAnsiTheme="minorHAnsi"/>
          <w:sz w:val="22"/>
        </w:rPr>
        <w:t xml:space="preserve"> nižji od načrtovanega. K povišanju kombiniranega </w:t>
      </w:r>
      <w:r w:rsidRPr="00C3026E">
        <w:rPr>
          <w:rFonts w:asciiTheme="minorHAnsi" w:hAnsiTheme="minorHAnsi"/>
          <w:sz w:val="22"/>
        </w:rPr>
        <w:lastRenderedPageBreak/>
        <w:t xml:space="preserve">količnika v primerjavi z 2014 je prispeval slabši čisti merodajni škodni količnik pozavarovanja, ki je </w:t>
      </w:r>
      <w:r w:rsidR="0002780F">
        <w:rPr>
          <w:rFonts w:asciiTheme="minorHAnsi" w:hAnsiTheme="minorHAnsi"/>
          <w:sz w:val="22"/>
        </w:rPr>
        <w:t>zvišal</w:t>
      </w:r>
      <w:r w:rsidR="0002780F" w:rsidRPr="00C3026E">
        <w:rPr>
          <w:rFonts w:asciiTheme="minorHAnsi" w:hAnsiTheme="minorHAnsi"/>
          <w:sz w:val="22"/>
        </w:rPr>
        <w:t xml:space="preserve"> </w:t>
      </w:r>
      <w:r w:rsidRPr="00C3026E">
        <w:rPr>
          <w:rFonts w:asciiTheme="minorHAnsi" w:hAnsiTheme="minorHAnsi"/>
          <w:sz w:val="22"/>
        </w:rPr>
        <w:t>tako zaradi katastrofalnega dogodka kot tudi učinka tečajnih razlik</w:t>
      </w:r>
      <w:r w:rsidR="00BE4B52" w:rsidRPr="00C3026E">
        <w:rPr>
          <w:rFonts w:asciiTheme="minorHAnsi" w:hAnsiTheme="minorHAnsi"/>
          <w:sz w:val="22"/>
        </w:rPr>
        <w:t xml:space="preserve">, ki pa so se izravnale s pozitivnimi učinki na naložbenem delu. </w:t>
      </w:r>
      <w:r w:rsidR="0053503D" w:rsidRPr="00C3026E">
        <w:rPr>
          <w:rFonts w:asciiTheme="minorHAnsi" w:hAnsiTheme="minorHAnsi"/>
          <w:sz w:val="22"/>
        </w:rPr>
        <w:t>Kljub navedenim učinkom tečajnih razlik na tehnični rezultat so zaradi ustreznega valutnega usklajevanja učinki na poslovni izid minimalni.</w:t>
      </w:r>
    </w:p>
    <w:p w:rsidR="00511730" w:rsidRPr="00C3026E" w:rsidRDefault="00511730" w:rsidP="00511730">
      <w:pPr>
        <w:rPr>
          <w:rFonts w:asciiTheme="minorHAnsi" w:hAnsiTheme="minorHAnsi"/>
          <w:sz w:val="22"/>
        </w:rPr>
      </w:pPr>
    </w:p>
    <w:p w:rsidR="0043152B" w:rsidRPr="00C3026E" w:rsidRDefault="0043152B" w:rsidP="00511730">
      <w:pPr>
        <w:rPr>
          <w:rFonts w:asciiTheme="minorHAnsi" w:hAnsiTheme="minorHAnsi"/>
          <w:i/>
          <w:sz w:val="22"/>
        </w:rPr>
      </w:pPr>
      <w:r w:rsidRPr="00C3026E">
        <w:rPr>
          <w:rFonts w:asciiTheme="minorHAnsi" w:hAnsiTheme="minorHAnsi"/>
          <w:i/>
          <w:sz w:val="22"/>
        </w:rPr>
        <w:t>Vrednost za lastnike raste</w:t>
      </w:r>
    </w:p>
    <w:p w:rsidR="00511730" w:rsidRPr="00C3026E" w:rsidRDefault="0043152B" w:rsidP="0060323F">
      <w:pPr>
        <w:rPr>
          <w:rFonts w:asciiTheme="minorHAnsi" w:hAnsiTheme="minorHAnsi"/>
          <w:sz w:val="22"/>
        </w:rPr>
      </w:pPr>
      <w:r w:rsidRPr="00C3026E">
        <w:rPr>
          <w:rFonts w:asciiTheme="minorHAnsi" w:hAnsiTheme="minorHAnsi"/>
          <w:b/>
          <w:sz w:val="22"/>
        </w:rPr>
        <w:t>Donosnost lastniškega kapit</w:t>
      </w:r>
      <w:r w:rsidR="00511730" w:rsidRPr="00C3026E">
        <w:rPr>
          <w:rFonts w:asciiTheme="minorHAnsi" w:hAnsiTheme="minorHAnsi"/>
          <w:b/>
          <w:sz w:val="22"/>
        </w:rPr>
        <w:t>ala</w:t>
      </w:r>
      <w:r w:rsidR="00511730" w:rsidRPr="00C3026E">
        <w:rPr>
          <w:rFonts w:asciiTheme="minorHAnsi" w:hAnsiTheme="minorHAnsi"/>
          <w:sz w:val="22"/>
        </w:rPr>
        <w:t xml:space="preserve"> (</w:t>
      </w:r>
      <w:proofErr w:type="spellStart"/>
      <w:r w:rsidR="00511730" w:rsidRPr="00C3026E">
        <w:rPr>
          <w:rFonts w:asciiTheme="minorHAnsi" w:hAnsiTheme="minorHAnsi"/>
          <w:sz w:val="22"/>
        </w:rPr>
        <w:t>ROE</w:t>
      </w:r>
      <w:proofErr w:type="spellEnd"/>
      <w:r w:rsidR="00511730" w:rsidRPr="00C3026E">
        <w:rPr>
          <w:rFonts w:asciiTheme="minorHAnsi" w:hAnsiTheme="minorHAnsi"/>
          <w:sz w:val="22"/>
        </w:rPr>
        <w:t>) za skupino za leto 2015 znaša 12,0</w:t>
      </w:r>
      <w:r w:rsidR="00C5384E">
        <w:rPr>
          <w:rFonts w:asciiTheme="minorHAnsi" w:hAnsiTheme="minorHAnsi"/>
          <w:sz w:val="22"/>
        </w:rPr>
        <w:t> odstotkov</w:t>
      </w:r>
      <w:r w:rsidR="00511730" w:rsidRPr="00C3026E">
        <w:rPr>
          <w:rFonts w:asciiTheme="minorHAnsi" w:hAnsiTheme="minorHAnsi"/>
          <w:sz w:val="22"/>
        </w:rPr>
        <w:t>, kar nekoliko presega dolgoročni cilj skupine. Dosežen rezultat skupine bo zagotovil sledenje zastavljeni dividendni politiki ter usmeritvi povečevanja dividende na delnico.</w:t>
      </w:r>
    </w:p>
    <w:p w:rsidR="0060323F" w:rsidRPr="00C3026E" w:rsidRDefault="0060323F" w:rsidP="0060323F">
      <w:pPr>
        <w:rPr>
          <w:rFonts w:asciiTheme="minorHAnsi" w:hAnsiTheme="minorHAnsi"/>
          <w:sz w:val="22"/>
        </w:rPr>
      </w:pPr>
    </w:p>
    <w:p w:rsidR="00511730" w:rsidRPr="00C3026E" w:rsidRDefault="0043152B" w:rsidP="00511730">
      <w:pPr>
        <w:rPr>
          <w:rFonts w:asciiTheme="minorHAnsi" w:hAnsiTheme="minorHAnsi"/>
          <w:i/>
          <w:sz w:val="22"/>
        </w:rPr>
      </w:pPr>
      <w:r w:rsidRPr="00C3026E">
        <w:rPr>
          <w:rFonts w:asciiTheme="minorHAnsi" w:hAnsiTheme="minorHAnsi"/>
          <w:i/>
          <w:sz w:val="22"/>
        </w:rPr>
        <w:t xml:space="preserve">Pomembnejši </w:t>
      </w:r>
      <w:r w:rsidR="00511730" w:rsidRPr="00C3026E">
        <w:rPr>
          <w:rFonts w:asciiTheme="minorHAnsi" w:hAnsiTheme="minorHAnsi"/>
          <w:i/>
          <w:sz w:val="22"/>
        </w:rPr>
        <w:t>nerevidirani podatki poslovanja skupine Sava Re in Pozavarovalnice Sava</w:t>
      </w:r>
    </w:p>
    <w:tbl>
      <w:tblPr>
        <w:tblW w:w="5000" w:type="pct"/>
        <w:tblCellMar>
          <w:left w:w="70" w:type="dxa"/>
          <w:right w:w="70" w:type="dxa"/>
        </w:tblCellMar>
        <w:tblLook w:val="04A0" w:firstRow="1" w:lastRow="0" w:firstColumn="1" w:lastColumn="0" w:noHBand="0" w:noVBand="1"/>
      </w:tblPr>
      <w:tblGrid>
        <w:gridCol w:w="4636"/>
        <w:gridCol w:w="1197"/>
        <w:gridCol w:w="1197"/>
        <w:gridCol w:w="1083"/>
        <w:gridCol w:w="1099"/>
      </w:tblGrid>
      <w:tr w:rsidR="00511730" w:rsidRPr="00C3026E" w:rsidTr="006F33DE">
        <w:trPr>
          <w:trHeight w:val="170"/>
        </w:trPr>
        <w:tc>
          <w:tcPr>
            <w:tcW w:w="2527" w:type="pct"/>
            <w:tcBorders>
              <w:top w:val="single" w:sz="4" w:space="0" w:color="90A93E"/>
              <w:left w:val="single" w:sz="4" w:space="0" w:color="90A93E"/>
              <w:bottom w:val="nil"/>
              <w:right w:val="nil"/>
            </w:tcBorders>
            <w:shd w:val="clear" w:color="000000" w:fill="90A93E"/>
            <w:hideMark/>
          </w:tcPr>
          <w:p w:rsidR="00511730" w:rsidRPr="00C3026E" w:rsidRDefault="00511730" w:rsidP="006F33DE">
            <w:pPr>
              <w:jc w:val="left"/>
              <w:rPr>
                <w:rFonts w:asciiTheme="minorHAnsi" w:eastAsia="Times New Roman" w:hAnsiTheme="minorHAnsi" w:cs="Arial"/>
                <w:sz w:val="18"/>
                <w:szCs w:val="18"/>
                <w:lang w:eastAsia="sl-SI"/>
              </w:rPr>
            </w:pPr>
            <w:bookmarkStart w:id="1" w:name="RANGE!A1:E44"/>
            <w:r w:rsidRPr="00C3026E">
              <w:rPr>
                <w:rFonts w:asciiTheme="minorHAnsi" w:eastAsia="Times New Roman" w:hAnsiTheme="minorHAnsi" w:cs="Arial"/>
                <w:sz w:val="18"/>
                <w:szCs w:val="18"/>
                <w:lang w:eastAsia="sl-SI"/>
              </w:rPr>
              <w:t>(v EUR)</w:t>
            </w:r>
            <w:bookmarkEnd w:id="1"/>
          </w:p>
        </w:tc>
        <w:tc>
          <w:tcPr>
            <w:tcW w:w="1259" w:type="pct"/>
            <w:gridSpan w:val="2"/>
            <w:tcBorders>
              <w:top w:val="single" w:sz="4" w:space="0" w:color="90A93E"/>
              <w:left w:val="nil"/>
              <w:bottom w:val="nil"/>
              <w:right w:val="nil"/>
            </w:tcBorders>
            <w:shd w:val="clear" w:color="000000" w:fill="90A93E"/>
            <w:hideMark/>
          </w:tcPr>
          <w:p w:rsidR="00511730" w:rsidRPr="00C3026E" w:rsidRDefault="00511730" w:rsidP="006F33DE">
            <w:pPr>
              <w:jc w:val="center"/>
              <w:rPr>
                <w:rFonts w:asciiTheme="minorHAnsi" w:eastAsia="Times New Roman" w:hAnsiTheme="minorHAnsi" w:cs="Arial"/>
                <w:b/>
                <w:bCs/>
                <w:sz w:val="18"/>
                <w:szCs w:val="18"/>
                <w:lang w:eastAsia="sl-SI"/>
              </w:rPr>
            </w:pPr>
            <w:r w:rsidRPr="00C3026E">
              <w:rPr>
                <w:rFonts w:asciiTheme="minorHAnsi" w:eastAsia="Times New Roman" w:hAnsiTheme="minorHAnsi" w:cs="Arial"/>
                <w:b/>
                <w:bCs/>
                <w:sz w:val="18"/>
                <w:szCs w:val="18"/>
                <w:lang w:eastAsia="sl-SI"/>
              </w:rPr>
              <w:t>Skupina Sava Re</w:t>
            </w:r>
          </w:p>
        </w:tc>
        <w:tc>
          <w:tcPr>
            <w:tcW w:w="1214" w:type="pct"/>
            <w:gridSpan w:val="2"/>
            <w:tcBorders>
              <w:top w:val="single" w:sz="4" w:space="0" w:color="90A93E"/>
              <w:left w:val="nil"/>
              <w:bottom w:val="nil"/>
              <w:right w:val="single" w:sz="4" w:space="0" w:color="90A93E"/>
            </w:tcBorders>
            <w:shd w:val="clear" w:color="000000" w:fill="90A93E"/>
            <w:hideMark/>
          </w:tcPr>
          <w:p w:rsidR="00511730" w:rsidRPr="00C3026E" w:rsidRDefault="00511730" w:rsidP="006F33DE">
            <w:pPr>
              <w:jc w:val="center"/>
              <w:rPr>
                <w:rFonts w:asciiTheme="minorHAnsi" w:eastAsia="Times New Roman" w:hAnsiTheme="minorHAnsi" w:cs="Arial"/>
                <w:b/>
                <w:bCs/>
                <w:sz w:val="18"/>
                <w:szCs w:val="18"/>
                <w:lang w:eastAsia="sl-SI"/>
              </w:rPr>
            </w:pPr>
            <w:r w:rsidRPr="00C3026E">
              <w:rPr>
                <w:rFonts w:asciiTheme="minorHAnsi" w:eastAsia="Times New Roman" w:hAnsiTheme="minorHAnsi" w:cs="Arial"/>
                <w:b/>
                <w:bCs/>
                <w:sz w:val="18"/>
                <w:szCs w:val="18"/>
                <w:lang w:eastAsia="sl-SI"/>
              </w:rPr>
              <w:t>Pozavarovalnica Sava</w:t>
            </w:r>
          </w:p>
        </w:tc>
      </w:tr>
      <w:tr w:rsidR="00511730" w:rsidRPr="00C3026E" w:rsidTr="0060323F">
        <w:trPr>
          <w:trHeight w:val="136"/>
        </w:trPr>
        <w:tc>
          <w:tcPr>
            <w:tcW w:w="2527" w:type="pct"/>
            <w:tcBorders>
              <w:top w:val="nil"/>
              <w:left w:val="single" w:sz="4" w:space="0" w:color="90A93E"/>
              <w:bottom w:val="nil"/>
              <w:right w:val="nil"/>
            </w:tcBorders>
            <w:shd w:val="clear" w:color="000000" w:fill="90A93E"/>
            <w:hideMark/>
          </w:tcPr>
          <w:p w:rsidR="00511730" w:rsidRPr="00C3026E" w:rsidRDefault="00511730" w:rsidP="006F33DE">
            <w:pPr>
              <w:jc w:val="lef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nil"/>
            </w:tcBorders>
            <w:shd w:val="clear" w:color="000000" w:fill="90A93E"/>
            <w:hideMark/>
          </w:tcPr>
          <w:p w:rsidR="00511730" w:rsidRPr="00C3026E" w:rsidRDefault="00511730" w:rsidP="006F33DE">
            <w:pPr>
              <w:jc w:val="center"/>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2015</w:t>
            </w:r>
          </w:p>
        </w:tc>
        <w:tc>
          <w:tcPr>
            <w:tcW w:w="652" w:type="pct"/>
            <w:tcBorders>
              <w:top w:val="nil"/>
              <w:left w:val="nil"/>
              <w:bottom w:val="nil"/>
              <w:right w:val="nil"/>
            </w:tcBorders>
            <w:shd w:val="clear" w:color="000000" w:fill="90A93E"/>
            <w:hideMark/>
          </w:tcPr>
          <w:p w:rsidR="00511730" w:rsidRPr="00C3026E" w:rsidRDefault="00511730" w:rsidP="006F33DE">
            <w:pPr>
              <w:jc w:val="center"/>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2014</w:t>
            </w:r>
          </w:p>
        </w:tc>
        <w:tc>
          <w:tcPr>
            <w:tcW w:w="607" w:type="pct"/>
            <w:tcBorders>
              <w:top w:val="nil"/>
              <w:left w:val="nil"/>
              <w:bottom w:val="nil"/>
              <w:right w:val="nil"/>
            </w:tcBorders>
            <w:shd w:val="clear" w:color="000000" w:fill="90A93E"/>
            <w:hideMark/>
          </w:tcPr>
          <w:p w:rsidR="00511730" w:rsidRPr="00C3026E" w:rsidRDefault="00511730" w:rsidP="006F33DE">
            <w:pPr>
              <w:jc w:val="center"/>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2015</w:t>
            </w:r>
          </w:p>
        </w:tc>
        <w:tc>
          <w:tcPr>
            <w:tcW w:w="607" w:type="pct"/>
            <w:tcBorders>
              <w:top w:val="nil"/>
              <w:left w:val="nil"/>
              <w:bottom w:val="nil"/>
              <w:right w:val="single" w:sz="4" w:space="0" w:color="90A93E"/>
            </w:tcBorders>
            <w:shd w:val="clear" w:color="000000" w:fill="90A93E"/>
            <w:hideMark/>
          </w:tcPr>
          <w:p w:rsidR="00511730" w:rsidRPr="00C3026E" w:rsidRDefault="00511730" w:rsidP="006F33DE">
            <w:pPr>
              <w:jc w:val="center"/>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2014</w:t>
            </w:r>
          </w:p>
        </w:tc>
      </w:tr>
      <w:tr w:rsidR="00511730" w:rsidRPr="00C3026E" w:rsidTr="006F33DE">
        <w:trPr>
          <w:trHeight w:val="170"/>
        </w:trPr>
        <w:tc>
          <w:tcPr>
            <w:tcW w:w="2527" w:type="pct"/>
            <w:tcBorders>
              <w:top w:val="single" w:sz="4" w:space="0" w:color="90A93E"/>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Kosmate premije</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486.264.557</w:t>
            </w:r>
          </w:p>
        </w:tc>
        <w:tc>
          <w:tcPr>
            <w:tcW w:w="652"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468.179.052</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151.982.421</w:t>
            </w:r>
          </w:p>
        </w:tc>
        <w:tc>
          <w:tcPr>
            <w:tcW w:w="607" w:type="pct"/>
            <w:tcBorders>
              <w:top w:val="single" w:sz="4" w:space="0" w:color="90A93E"/>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131.323.246</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 spremembe glede na isto obdobje prejšnjega leta</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3,9 %</w:t>
            </w:r>
          </w:p>
        </w:tc>
        <w:tc>
          <w:tcPr>
            <w:tcW w:w="652"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21,1 %</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15,7 %</w:t>
            </w:r>
          </w:p>
        </w:tc>
        <w:tc>
          <w:tcPr>
            <w:tcW w:w="607" w:type="pct"/>
            <w:tcBorders>
              <w:top w:val="nil"/>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-2,1 %</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Čisti prihodki od premij</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447.559.605</w:t>
            </w:r>
          </w:p>
        </w:tc>
        <w:tc>
          <w:tcPr>
            <w:tcW w:w="652"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437.572.337</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125.479.297</w:t>
            </w:r>
          </w:p>
        </w:tc>
        <w:tc>
          <w:tcPr>
            <w:tcW w:w="607" w:type="pct"/>
            <w:tcBorders>
              <w:top w:val="nil"/>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113.847.068</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 spremembe glede na isto obdobje prejšnjega leta</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2,3 %</w:t>
            </w:r>
          </w:p>
        </w:tc>
        <w:tc>
          <w:tcPr>
            <w:tcW w:w="652"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15,4 %</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10,2 %</w:t>
            </w:r>
          </w:p>
        </w:tc>
        <w:tc>
          <w:tcPr>
            <w:tcW w:w="607" w:type="pct"/>
            <w:tcBorders>
              <w:top w:val="nil"/>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-8,7 %</w:t>
            </w:r>
          </w:p>
        </w:tc>
      </w:tr>
      <w:tr w:rsidR="00511730" w:rsidRPr="00C3026E" w:rsidTr="006F33DE">
        <w:trPr>
          <w:trHeight w:val="170"/>
        </w:trPr>
        <w:tc>
          <w:tcPr>
            <w:tcW w:w="2527" w:type="pct"/>
            <w:tcBorders>
              <w:top w:val="nil"/>
              <w:left w:val="single" w:sz="4" w:space="0" w:color="90A93E"/>
              <w:bottom w:val="nil"/>
              <w:right w:val="nil"/>
            </w:tcBorders>
            <w:shd w:val="clear" w:color="000000" w:fill="BFBFBF"/>
            <w:vAlign w:val="center"/>
            <w:hideMark/>
          </w:tcPr>
          <w:p w:rsidR="00511730" w:rsidRPr="00C3026E" w:rsidRDefault="00511730" w:rsidP="006F33DE">
            <w:pPr>
              <w:jc w:val="lef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52"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single" w:sz="4" w:space="0" w:color="90A93E"/>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r>
      <w:tr w:rsidR="00511730" w:rsidRPr="00C3026E" w:rsidTr="006F33DE">
        <w:trPr>
          <w:trHeight w:val="170"/>
        </w:trPr>
        <w:tc>
          <w:tcPr>
            <w:tcW w:w="2527" w:type="pct"/>
            <w:tcBorders>
              <w:top w:val="single" w:sz="4" w:space="0" w:color="90A93E"/>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Kosmate škode</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271.503.134</w:t>
            </w:r>
          </w:p>
        </w:tc>
        <w:tc>
          <w:tcPr>
            <w:tcW w:w="652"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255.340.015</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89.689.537</w:t>
            </w:r>
          </w:p>
        </w:tc>
        <w:tc>
          <w:tcPr>
            <w:tcW w:w="607" w:type="pct"/>
            <w:tcBorders>
              <w:top w:val="single" w:sz="4" w:space="0" w:color="90A93E"/>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70.181.933</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 spremembe glede na isto obdobje prejšnjega leta</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6,3 %</w:t>
            </w:r>
          </w:p>
        </w:tc>
        <w:tc>
          <w:tcPr>
            <w:tcW w:w="652"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15,4 %</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27,8 %</w:t>
            </w:r>
          </w:p>
        </w:tc>
        <w:tc>
          <w:tcPr>
            <w:tcW w:w="607" w:type="pct"/>
            <w:tcBorders>
              <w:top w:val="nil"/>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-12,8 %</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Čisti odhodki za škode</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273.129.823</w:t>
            </w:r>
          </w:p>
        </w:tc>
        <w:tc>
          <w:tcPr>
            <w:tcW w:w="652"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257.080.153</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86.680.582</w:t>
            </w:r>
          </w:p>
        </w:tc>
        <w:tc>
          <w:tcPr>
            <w:tcW w:w="607" w:type="pct"/>
            <w:tcBorders>
              <w:top w:val="nil"/>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64.736.669</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 spremembe glede na isto obdobje prejšnjega leta</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6,2 %</w:t>
            </w:r>
          </w:p>
        </w:tc>
        <w:tc>
          <w:tcPr>
            <w:tcW w:w="652"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12,3 %</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33,9 %</w:t>
            </w:r>
          </w:p>
        </w:tc>
        <w:tc>
          <w:tcPr>
            <w:tcW w:w="607" w:type="pct"/>
            <w:tcBorders>
              <w:top w:val="nil"/>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-16,6 %</w:t>
            </w:r>
          </w:p>
        </w:tc>
      </w:tr>
      <w:tr w:rsidR="00511730" w:rsidRPr="00C3026E" w:rsidTr="006F33DE">
        <w:trPr>
          <w:trHeight w:val="170"/>
        </w:trPr>
        <w:tc>
          <w:tcPr>
            <w:tcW w:w="2527" w:type="pct"/>
            <w:tcBorders>
              <w:top w:val="nil"/>
              <w:left w:val="single" w:sz="4" w:space="0" w:color="90A93E"/>
              <w:bottom w:val="nil"/>
              <w:right w:val="nil"/>
            </w:tcBorders>
            <w:shd w:val="clear" w:color="000000" w:fill="BFBFBF"/>
            <w:vAlign w:val="center"/>
            <w:hideMark/>
          </w:tcPr>
          <w:p w:rsidR="00511730" w:rsidRPr="00C3026E" w:rsidRDefault="00511730" w:rsidP="006F33DE">
            <w:pPr>
              <w:jc w:val="lef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52"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single" w:sz="4" w:space="0" w:color="90A93E"/>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r>
      <w:tr w:rsidR="00511730" w:rsidRPr="00C3026E" w:rsidTr="006F33DE">
        <w:trPr>
          <w:trHeight w:val="170"/>
        </w:trPr>
        <w:tc>
          <w:tcPr>
            <w:tcW w:w="2527" w:type="pct"/>
            <w:tcBorders>
              <w:top w:val="single" w:sz="4" w:space="0" w:color="90A93E"/>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Čisti merodajni škodni količnik</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61,3 %</w:t>
            </w:r>
          </w:p>
        </w:tc>
        <w:tc>
          <w:tcPr>
            <w:tcW w:w="652"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59,5 %</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69,1 %</w:t>
            </w:r>
          </w:p>
        </w:tc>
        <w:tc>
          <w:tcPr>
            <w:tcW w:w="607" w:type="pct"/>
            <w:tcBorders>
              <w:top w:val="single" w:sz="4" w:space="0" w:color="90A93E"/>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56,9 %</w:t>
            </w:r>
          </w:p>
        </w:tc>
      </w:tr>
      <w:tr w:rsidR="00511730" w:rsidRPr="00C3026E" w:rsidTr="006F33DE">
        <w:trPr>
          <w:trHeight w:val="170"/>
        </w:trPr>
        <w:tc>
          <w:tcPr>
            <w:tcW w:w="2527" w:type="pct"/>
            <w:tcBorders>
              <w:top w:val="nil"/>
              <w:left w:val="single" w:sz="4" w:space="0" w:color="90A93E"/>
              <w:bottom w:val="nil"/>
              <w:right w:val="nil"/>
            </w:tcBorders>
            <w:shd w:val="clear" w:color="000000" w:fill="BFBFBF"/>
            <w:vAlign w:val="center"/>
            <w:hideMark/>
          </w:tcPr>
          <w:p w:rsidR="00511730" w:rsidRPr="00C3026E" w:rsidRDefault="00511730" w:rsidP="006F33DE">
            <w:pPr>
              <w:jc w:val="lef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52"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single" w:sz="4" w:space="0" w:color="90A93E"/>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r>
      <w:tr w:rsidR="00511730" w:rsidRPr="00C3026E" w:rsidTr="006F33DE">
        <w:trPr>
          <w:trHeight w:val="170"/>
        </w:trPr>
        <w:tc>
          <w:tcPr>
            <w:tcW w:w="2527" w:type="pct"/>
            <w:tcBorders>
              <w:top w:val="single" w:sz="4" w:space="0" w:color="90A93E"/>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 xml:space="preserve">Obratovalni stroški s prihodki od </w:t>
            </w:r>
            <w:proofErr w:type="spellStart"/>
            <w:r w:rsidRPr="00C3026E">
              <w:rPr>
                <w:rFonts w:asciiTheme="minorHAnsi" w:eastAsia="Times New Roman" w:hAnsiTheme="minorHAnsi" w:cs="Arial"/>
                <w:b/>
                <w:bCs/>
                <w:color w:val="000000"/>
                <w:sz w:val="18"/>
                <w:szCs w:val="18"/>
                <w:lang w:eastAsia="sl-SI"/>
              </w:rPr>
              <w:t>pozav</w:t>
            </w:r>
            <w:proofErr w:type="spellEnd"/>
            <w:r w:rsidRPr="00C3026E">
              <w:rPr>
                <w:rFonts w:asciiTheme="minorHAnsi" w:eastAsia="Times New Roman" w:hAnsiTheme="minorHAnsi" w:cs="Arial"/>
                <w:b/>
                <w:bCs/>
                <w:color w:val="000000"/>
                <w:sz w:val="18"/>
                <w:szCs w:val="18"/>
                <w:lang w:eastAsia="sl-SI"/>
              </w:rPr>
              <w:t>. provizij</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145.261.469</w:t>
            </w:r>
          </w:p>
        </w:tc>
        <w:tc>
          <w:tcPr>
            <w:tcW w:w="652"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143.656.574</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37.623.325</w:t>
            </w:r>
          </w:p>
        </w:tc>
        <w:tc>
          <w:tcPr>
            <w:tcW w:w="607" w:type="pct"/>
            <w:tcBorders>
              <w:top w:val="single" w:sz="4" w:space="0" w:color="90A93E"/>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36.937.815</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 spremembe glede na isto obdobje prejšnjega leta</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1,1 %</w:t>
            </w:r>
          </w:p>
        </w:tc>
        <w:tc>
          <w:tcPr>
            <w:tcW w:w="652"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12,9 %</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1,9 %</w:t>
            </w:r>
          </w:p>
        </w:tc>
        <w:tc>
          <w:tcPr>
            <w:tcW w:w="607" w:type="pct"/>
            <w:tcBorders>
              <w:top w:val="nil"/>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-5,0 %</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Čisti stroškovni količnik</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32,5 %</w:t>
            </w:r>
          </w:p>
        </w:tc>
        <w:tc>
          <w:tcPr>
            <w:tcW w:w="652"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32,8 %</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30,0 %</w:t>
            </w:r>
          </w:p>
        </w:tc>
        <w:tc>
          <w:tcPr>
            <w:tcW w:w="607" w:type="pct"/>
            <w:tcBorders>
              <w:top w:val="nil"/>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32,4 %</w:t>
            </w:r>
          </w:p>
        </w:tc>
      </w:tr>
      <w:tr w:rsidR="00511730" w:rsidRPr="00C3026E" w:rsidTr="006F33DE">
        <w:trPr>
          <w:trHeight w:val="170"/>
        </w:trPr>
        <w:tc>
          <w:tcPr>
            <w:tcW w:w="2527" w:type="pct"/>
            <w:tcBorders>
              <w:top w:val="nil"/>
              <w:left w:val="single" w:sz="4" w:space="0" w:color="90A93E"/>
              <w:bottom w:val="nil"/>
              <w:right w:val="nil"/>
            </w:tcBorders>
            <w:shd w:val="clear" w:color="000000" w:fill="BFBFBF"/>
            <w:vAlign w:val="center"/>
            <w:hideMark/>
          </w:tcPr>
          <w:p w:rsidR="00511730" w:rsidRPr="00C3026E" w:rsidRDefault="00511730" w:rsidP="006F33DE">
            <w:pPr>
              <w:jc w:val="lef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52"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single" w:sz="4" w:space="0" w:color="90A93E"/>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r>
      <w:tr w:rsidR="00511730" w:rsidRPr="00C3026E" w:rsidTr="006F33DE">
        <w:trPr>
          <w:trHeight w:val="170"/>
        </w:trPr>
        <w:tc>
          <w:tcPr>
            <w:tcW w:w="2527" w:type="pct"/>
            <w:tcBorders>
              <w:top w:val="single" w:sz="4" w:space="0" w:color="90A93E"/>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Čisti kombinirani količnik</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95,9 %</w:t>
            </w:r>
          </w:p>
        </w:tc>
        <w:tc>
          <w:tcPr>
            <w:tcW w:w="652"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95,5 %</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99,2 %</w:t>
            </w:r>
          </w:p>
        </w:tc>
        <w:tc>
          <w:tcPr>
            <w:tcW w:w="607" w:type="pct"/>
            <w:tcBorders>
              <w:top w:val="single" w:sz="4" w:space="0" w:color="90A93E"/>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89,9 %</w:t>
            </w:r>
          </w:p>
        </w:tc>
      </w:tr>
      <w:tr w:rsidR="00511730" w:rsidRPr="00C3026E" w:rsidTr="006F33DE">
        <w:trPr>
          <w:trHeight w:val="170"/>
        </w:trPr>
        <w:tc>
          <w:tcPr>
            <w:tcW w:w="2527" w:type="pct"/>
            <w:tcBorders>
              <w:top w:val="nil"/>
              <w:left w:val="single" w:sz="4" w:space="0" w:color="90A93E"/>
              <w:bottom w:val="nil"/>
              <w:right w:val="nil"/>
            </w:tcBorders>
            <w:shd w:val="clear" w:color="000000" w:fill="BFBFBF"/>
            <w:vAlign w:val="center"/>
            <w:hideMark/>
          </w:tcPr>
          <w:p w:rsidR="00511730" w:rsidRPr="00C3026E" w:rsidRDefault="00511730" w:rsidP="006F33DE">
            <w:pPr>
              <w:jc w:val="lef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52"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single" w:sz="4" w:space="0" w:color="90A93E"/>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r>
      <w:tr w:rsidR="00511730" w:rsidRPr="00C3026E" w:rsidTr="006F33DE">
        <w:trPr>
          <w:trHeight w:val="170"/>
        </w:trPr>
        <w:tc>
          <w:tcPr>
            <w:tcW w:w="2527" w:type="pct"/>
            <w:tcBorders>
              <w:top w:val="single" w:sz="4" w:space="0" w:color="90A93E"/>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Donos naložbenega portfelja</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26.985.847</w:t>
            </w:r>
          </w:p>
        </w:tc>
        <w:tc>
          <w:tcPr>
            <w:tcW w:w="652"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29.283.879</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15.634.555</w:t>
            </w:r>
          </w:p>
        </w:tc>
        <w:tc>
          <w:tcPr>
            <w:tcW w:w="607" w:type="pct"/>
            <w:tcBorders>
              <w:top w:val="single" w:sz="4" w:space="0" w:color="90A93E"/>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13.672.667</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Donosnost naložbenega portfelja</w:t>
            </w:r>
          </w:p>
        </w:tc>
        <w:tc>
          <w:tcPr>
            <w:tcW w:w="607"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2,7%</w:t>
            </w:r>
          </w:p>
        </w:tc>
        <w:tc>
          <w:tcPr>
            <w:tcW w:w="652"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3,0%</w:t>
            </w:r>
          </w:p>
        </w:tc>
        <w:tc>
          <w:tcPr>
            <w:tcW w:w="607"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3,2%</w:t>
            </w:r>
          </w:p>
        </w:tc>
        <w:tc>
          <w:tcPr>
            <w:tcW w:w="607" w:type="pct"/>
            <w:tcBorders>
              <w:top w:val="nil"/>
              <w:left w:val="nil"/>
              <w:bottom w:val="nil"/>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3,2%</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Donos naložbenega portfelja brez vpliva tečajnih razlik</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23.706.782</w:t>
            </w:r>
          </w:p>
        </w:tc>
        <w:tc>
          <w:tcPr>
            <w:tcW w:w="652"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26.938.500</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12.407.054</w:t>
            </w:r>
          </w:p>
        </w:tc>
        <w:tc>
          <w:tcPr>
            <w:tcW w:w="607" w:type="pct"/>
            <w:tcBorders>
              <w:top w:val="single" w:sz="4" w:space="0" w:color="90A93E"/>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11.535.975</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Donosnost naložbenega portfelja brez vpliva tečajnih razlik</w:t>
            </w:r>
          </w:p>
        </w:tc>
        <w:tc>
          <w:tcPr>
            <w:tcW w:w="607"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2,4%</w:t>
            </w:r>
          </w:p>
        </w:tc>
        <w:tc>
          <w:tcPr>
            <w:tcW w:w="652"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2,8%</w:t>
            </w:r>
          </w:p>
        </w:tc>
        <w:tc>
          <w:tcPr>
            <w:tcW w:w="607"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2,7%</w:t>
            </w:r>
          </w:p>
        </w:tc>
        <w:tc>
          <w:tcPr>
            <w:tcW w:w="607" w:type="pct"/>
            <w:tcBorders>
              <w:top w:val="nil"/>
              <w:left w:val="nil"/>
              <w:bottom w:val="nil"/>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2,7%</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000000" w:fill="BFBFBF"/>
            <w:vAlign w:val="center"/>
            <w:hideMark/>
          </w:tcPr>
          <w:p w:rsidR="00511730" w:rsidRPr="00C3026E" w:rsidRDefault="00511730" w:rsidP="006F33DE">
            <w:pPr>
              <w:jc w:val="lef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single" w:sz="4" w:space="0" w:color="90A93E"/>
              <w:left w:val="nil"/>
              <w:bottom w:val="single" w:sz="4" w:space="0" w:color="90A93E"/>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52" w:type="pct"/>
            <w:tcBorders>
              <w:top w:val="single" w:sz="4" w:space="0" w:color="90A93E"/>
              <w:left w:val="nil"/>
              <w:bottom w:val="single" w:sz="4" w:space="0" w:color="90A93E"/>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single" w:sz="4" w:space="0" w:color="90A93E"/>
              <w:left w:val="nil"/>
              <w:bottom w:val="single" w:sz="4" w:space="0" w:color="90A93E"/>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single" w:sz="4" w:space="0" w:color="90A93E"/>
              <w:left w:val="nil"/>
              <w:bottom w:val="single" w:sz="4" w:space="0" w:color="90A93E"/>
              <w:right w:val="single" w:sz="4" w:space="0" w:color="90A93E"/>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r>
      <w:tr w:rsidR="00511730" w:rsidRPr="00C3026E" w:rsidTr="006F33DE">
        <w:trPr>
          <w:trHeight w:val="170"/>
        </w:trPr>
        <w:tc>
          <w:tcPr>
            <w:tcW w:w="2527" w:type="pct"/>
            <w:tcBorders>
              <w:top w:val="nil"/>
              <w:left w:val="single" w:sz="4" w:space="0" w:color="90A93E"/>
              <w:bottom w:val="nil"/>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Poslovni izid po obdavčitvi</w:t>
            </w:r>
          </w:p>
        </w:tc>
        <w:tc>
          <w:tcPr>
            <w:tcW w:w="607"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33.365.451</w:t>
            </w:r>
          </w:p>
        </w:tc>
        <w:tc>
          <w:tcPr>
            <w:tcW w:w="652"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30.538.150</w:t>
            </w:r>
          </w:p>
        </w:tc>
        <w:tc>
          <w:tcPr>
            <w:tcW w:w="607"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16.191.902</w:t>
            </w:r>
          </w:p>
        </w:tc>
        <w:tc>
          <w:tcPr>
            <w:tcW w:w="607" w:type="pct"/>
            <w:tcBorders>
              <w:top w:val="nil"/>
              <w:left w:val="nil"/>
              <w:bottom w:val="nil"/>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22.358.419</w:t>
            </w:r>
          </w:p>
        </w:tc>
      </w:tr>
      <w:tr w:rsidR="00511730" w:rsidRPr="00C3026E" w:rsidTr="006F33DE">
        <w:trPr>
          <w:trHeight w:val="170"/>
        </w:trPr>
        <w:tc>
          <w:tcPr>
            <w:tcW w:w="2527" w:type="pct"/>
            <w:tcBorders>
              <w:top w:val="single" w:sz="4" w:space="0" w:color="90A93E"/>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 spremembe glede na isto obdobje prejšnjega leta</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9,3 %</w:t>
            </w:r>
          </w:p>
        </w:tc>
        <w:tc>
          <w:tcPr>
            <w:tcW w:w="652"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95,5 %</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-27,6 %</w:t>
            </w:r>
          </w:p>
        </w:tc>
        <w:tc>
          <w:tcPr>
            <w:tcW w:w="607" w:type="pct"/>
            <w:tcBorders>
              <w:top w:val="single" w:sz="4" w:space="0" w:color="90A93E"/>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51,4 %</w:t>
            </w:r>
          </w:p>
        </w:tc>
      </w:tr>
      <w:tr w:rsidR="00511730" w:rsidRPr="00C3026E" w:rsidTr="006F33DE">
        <w:trPr>
          <w:trHeight w:val="170"/>
        </w:trPr>
        <w:tc>
          <w:tcPr>
            <w:tcW w:w="2527" w:type="pct"/>
            <w:tcBorders>
              <w:top w:val="nil"/>
              <w:left w:val="single" w:sz="4" w:space="0" w:color="90A93E"/>
              <w:bottom w:val="nil"/>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Vseobsegajoči donos</w:t>
            </w:r>
          </w:p>
        </w:tc>
        <w:tc>
          <w:tcPr>
            <w:tcW w:w="607"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27.618.054</w:t>
            </w:r>
          </w:p>
        </w:tc>
        <w:tc>
          <w:tcPr>
            <w:tcW w:w="652"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40.894.474</w:t>
            </w:r>
          </w:p>
        </w:tc>
        <w:tc>
          <w:tcPr>
            <w:tcW w:w="607"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14.814.031</w:t>
            </w:r>
          </w:p>
        </w:tc>
        <w:tc>
          <w:tcPr>
            <w:tcW w:w="607" w:type="pct"/>
            <w:tcBorders>
              <w:top w:val="nil"/>
              <w:left w:val="nil"/>
              <w:bottom w:val="nil"/>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26.447.137</w:t>
            </w:r>
          </w:p>
        </w:tc>
      </w:tr>
      <w:tr w:rsidR="00511730" w:rsidRPr="00C3026E" w:rsidTr="006F33DE">
        <w:trPr>
          <w:trHeight w:val="170"/>
        </w:trPr>
        <w:tc>
          <w:tcPr>
            <w:tcW w:w="2527" w:type="pct"/>
            <w:tcBorders>
              <w:top w:val="single" w:sz="4" w:space="0" w:color="90A93E"/>
              <w:left w:val="single" w:sz="4" w:space="0" w:color="90A93E"/>
              <w:bottom w:val="single" w:sz="4" w:space="0" w:color="90A93E"/>
              <w:right w:val="nil"/>
            </w:tcBorders>
            <w:shd w:val="clear" w:color="000000" w:fill="BFBFBF"/>
            <w:vAlign w:val="center"/>
            <w:hideMark/>
          </w:tcPr>
          <w:p w:rsidR="00511730" w:rsidRPr="00C3026E" w:rsidRDefault="00511730" w:rsidP="006F33DE">
            <w:pPr>
              <w:jc w:val="lef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single" w:sz="4" w:space="0" w:color="90A93E"/>
              <w:left w:val="nil"/>
              <w:bottom w:val="single" w:sz="4" w:space="0" w:color="90A93E"/>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52" w:type="pct"/>
            <w:tcBorders>
              <w:top w:val="single" w:sz="4" w:space="0" w:color="90A93E"/>
              <w:left w:val="nil"/>
              <w:bottom w:val="single" w:sz="4" w:space="0" w:color="90A93E"/>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single" w:sz="4" w:space="0" w:color="90A93E"/>
              <w:left w:val="nil"/>
              <w:bottom w:val="single" w:sz="4" w:space="0" w:color="90A93E"/>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single" w:sz="4" w:space="0" w:color="90A93E"/>
              <w:left w:val="nil"/>
              <w:bottom w:val="single" w:sz="4" w:space="0" w:color="90A93E"/>
              <w:right w:val="single" w:sz="4" w:space="0" w:color="90A93E"/>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r>
      <w:tr w:rsidR="00511730" w:rsidRPr="00C3026E" w:rsidTr="006F33DE">
        <w:trPr>
          <w:trHeight w:val="170"/>
        </w:trPr>
        <w:tc>
          <w:tcPr>
            <w:tcW w:w="2527" w:type="pct"/>
            <w:tcBorders>
              <w:top w:val="nil"/>
              <w:left w:val="single" w:sz="4" w:space="0" w:color="90A93E"/>
              <w:bottom w:val="nil"/>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Donosnost lastniškega kapitala</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12,0 %</w:t>
            </w:r>
          </w:p>
        </w:tc>
        <w:tc>
          <w:tcPr>
            <w:tcW w:w="652"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11,9 %</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6,2 %</w:t>
            </w:r>
          </w:p>
        </w:tc>
        <w:tc>
          <w:tcPr>
            <w:tcW w:w="607" w:type="pct"/>
            <w:tcBorders>
              <w:top w:val="nil"/>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8,9 %</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000000" w:fill="90A93E"/>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 </w:t>
            </w:r>
          </w:p>
        </w:tc>
        <w:tc>
          <w:tcPr>
            <w:tcW w:w="607" w:type="pct"/>
            <w:tcBorders>
              <w:top w:val="nil"/>
              <w:left w:val="nil"/>
              <w:bottom w:val="single" w:sz="4" w:space="0" w:color="90A93E"/>
              <w:right w:val="nil"/>
            </w:tcBorders>
            <w:shd w:val="clear" w:color="000000" w:fill="90A93E"/>
            <w:noWrap/>
            <w:vAlign w:val="bottom"/>
            <w:hideMark/>
          </w:tcPr>
          <w:p w:rsidR="00511730" w:rsidRPr="00C3026E" w:rsidRDefault="00511730" w:rsidP="006F33DE">
            <w:pPr>
              <w:jc w:val="center"/>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31.12.2015</w:t>
            </w:r>
          </w:p>
        </w:tc>
        <w:tc>
          <w:tcPr>
            <w:tcW w:w="652" w:type="pct"/>
            <w:tcBorders>
              <w:top w:val="nil"/>
              <w:left w:val="nil"/>
              <w:bottom w:val="single" w:sz="4" w:space="0" w:color="90A93E"/>
              <w:right w:val="nil"/>
            </w:tcBorders>
            <w:shd w:val="clear" w:color="000000" w:fill="90A93E"/>
            <w:noWrap/>
            <w:vAlign w:val="bottom"/>
            <w:hideMark/>
          </w:tcPr>
          <w:p w:rsidR="00511730" w:rsidRPr="00C3026E" w:rsidRDefault="00511730" w:rsidP="006F33DE">
            <w:pPr>
              <w:jc w:val="center"/>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31.12.2014</w:t>
            </w:r>
          </w:p>
        </w:tc>
        <w:tc>
          <w:tcPr>
            <w:tcW w:w="607" w:type="pct"/>
            <w:tcBorders>
              <w:top w:val="nil"/>
              <w:left w:val="nil"/>
              <w:bottom w:val="single" w:sz="4" w:space="0" w:color="90A93E"/>
              <w:right w:val="nil"/>
            </w:tcBorders>
            <w:shd w:val="clear" w:color="000000" w:fill="90A93E"/>
            <w:noWrap/>
            <w:vAlign w:val="bottom"/>
            <w:hideMark/>
          </w:tcPr>
          <w:p w:rsidR="00511730" w:rsidRPr="00C3026E" w:rsidRDefault="00511730" w:rsidP="006F33DE">
            <w:pPr>
              <w:jc w:val="center"/>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31.12.2015</w:t>
            </w:r>
          </w:p>
        </w:tc>
        <w:tc>
          <w:tcPr>
            <w:tcW w:w="607" w:type="pct"/>
            <w:tcBorders>
              <w:top w:val="nil"/>
              <w:left w:val="nil"/>
              <w:bottom w:val="single" w:sz="4" w:space="0" w:color="90A93E"/>
              <w:right w:val="single" w:sz="4" w:space="0" w:color="90A93E"/>
            </w:tcBorders>
            <w:shd w:val="clear" w:color="000000" w:fill="90A93E"/>
            <w:noWrap/>
            <w:vAlign w:val="bottom"/>
            <w:hideMark/>
          </w:tcPr>
          <w:p w:rsidR="00511730" w:rsidRPr="00C3026E" w:rsidRDefault="00511730" w:rsidP="006F33DE">
            <w:pPr>
              <w:jc w:val="center"/>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31.12.2014</w:t>
            </w:r>
          </w:p>
        </w:tc>
      </w:tr>
      <w:tr w:rsidR="00511730" w:rsidRPr="00C3026E" w:rsidTr="006F33DE">
        <w:trPr>
          <w:trHeight w:val="170"/>
        </w:trPr>
        <w:tc>
          <w:tcPr>
            <w:tcW w:w="2527" w:type="pct"/>
            <w:tcBorders>
              <w:top w:val="nil"/>
              <w:left w:val="single" w:sz="4" w:space="0" w:color="90A93E"/>
              <w:bottom w:val="nil"/>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Stanje sredstev</w:t>
            </w:r>
          </w:p>
        </w:tc>
        <w:tc>
          <w:tcPr>
            <w:tcW w:w="607"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1.607.281.060</w:t>
            </w:r>
          </w:p>
        </w:tc>
        <w:tc>
          <w:tcPr>
            <w:tcW w:w="652"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1.454.374.935</w:t>
            </w:r>
          </w:p>
        </w:tc>
        <w:tc>
          <w:tcPr>
            <w:tcW w:w="607"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570.886.710</w:t>
            </w:r>
          </w:p>
        </w:tc>
        <w:tc>
          <w:tcPr>
            <w:tcW w:w="607" w:type="pct"/>
            <w:tcBorders>
              <w:top w:val="nil"/>
              <w:left w:val="nil"/>
              <w:bottom w:val="nil"/>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547.413.684</w:t>
            </w:r>
          </w:p>
        </w:tc>
      </w:tr>
      <w:tr w:rsidR="00511730" w:rsidRPr="00C3026E" w:rsidTr="006F33DE">
        <w:trPr>
          <w:trHeight w:val="170"/>
        </w:trPr>
        <w:tc>
          <w:tcPr>
            <w:tcW w:w="2527" w:type="pct"/>
            <w:tcBorders>
              <w:top w:val="single" w:sz="4" w:space="0" w:color="90A93E"/>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 spremembe glede na 31. 12. predhodnega leta</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10,5 %</w:t>
            </w:r>
          </w:p>
        </w:tc>
        <w:tc>
          <w:tcPr>
            <w:tcW w:w="652"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5,5 %</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4,3 %</w:t>
            </w:r>
          </w:p>
        </w:tc>
        <w:tc>
          <w:tcPr>
            <w:tcW w:w="607" w:type="pct"/>
            <w:tcBorders>
              <w:top w:val="single" w:sz="4" w:space="0" w:color="90A93E"/>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3,2 %</w:t>
            </w:r>
          </w:p>
        </w:tc>
      </w:tr>
      <w:tr w:rsidR="00511730" w:rsidRPr="00C3026E" w:rsidTr="006F33DE">
        <w:trPr>
          <w:trHeight w:val="170"/>
        </w:trPr>
        <w:tc>
          <w:tcPr>
            <w:tcW w:w="2527" w:type="pct"/>
            <w:tcBorders>
              <w:top w:val="nil"/>
              <w:left w:val="single" w:sz="4" w:space="0" w:color="90A93E"/>
              <w:bottom w:val="nil"/>
              <w:right w:val="nil"/>
            </w:tcBorders>
            <w:shd w:val="clear" w:color="000000" w:fill="BFBFBF"/>
            <w:vAlign w:val="center"/>
            <w:hideMark/>
          </w:tcPr>
          <w:p w:rsidR="00511730" w:rsidRPr="00C3026E" w:rsidRDefault="00511730" w:rsidP="006F33DE">
            <w:pPr>
              <w:jc w:val="lef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52"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single" w:sz="4" w:space="0" w:color="90A93E"/>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r>
      <w:tr w:rsidR="00511730" w:rsidRPr="00C3026E" w:rsidTr="006F33DE">
        <w:trPr>
          <w:trHeight w:val="170"/>
        </w:trPr>
        <w:tc>
          <w:tcPr>
            <w:tcW w:w="2527" w:type="pct"/>
            <w:tcBorders>
              <w:top w:val="single" w:sz="4" w:space="0" w:color="90A93E"/>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Stanje kapitala</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286.401.678</w:t>
            </w:r>
          </w:p>
        </w:tc>
        <w:tc>
          <w:tcPr>
            <w:tcW w:w="652"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271.528.623</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263.679.403</w:t>
            </w:r>
          </w:p>
        </w:tc>
        <w:tc>
          <w:tcPr>
            <w:tcW w:w="607" w:type="pct"/>
            <w:tcBorders>
              <w:top w:val="single" w:sz="4" w:space="0" w:color="90A93E"/>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258.135.674</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 spremembe glede na 31. 12. predhodnega leta</w:t>
            </w:r>
          </w:p>
        </w:tc>
        <w:tc>
          <w:tcPr>
            <w:tcW w:w="607"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5,5 %</w:t>
            </w:r>
          </w:p>
        </w:tc>
        <w:tc>
          <w:tcPr>
            <w:tcW w:w="652"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13,1 %</w:t>
            </w:r>
          </w:p>
        </w:tc>
        <w:tc>
          <w:tcPr>
            <w:tcW w:w="607"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2,1 %</w:t>
            </w:r>
          </w:p>
        </w:tc>
        <w:tc>
          <w:tcPr>
            <w:tcW w:w="607" w:type="pct"/>
            <w:tcBorders>
              <w:top w:val="nil"/>
              <w:left w:val="nil"/>
              <w:bottom w:val="nil"/>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4,9 %</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000000" w:fill="BFBFBF"/>
            <w:vAlign w:val="center"/>
            <w:hideMark/>
          </w:tcPr>
          <w:p w:rsidR="00511730" w:rsidRPr="00C3026E" w:rsidRDefault="00511730" w:rsidP="006F33DE">
            <w:pPr>
              <w:jc w:val="lef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single" w:sz="4" w:space="0" w:color="90A93E"/>
              <w:left w:val="nil"/>
              <w:bottom w:val="single" w:sz="4" w:space="0" w:color="90A93E"/>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52" w:type="pct"/>
            <w:tcBorders>
              <w:top w:val="single" w:sz="4" w:space="0" w:color="90A93E"/>
              <w:left w:val="nil"/>
              <w:bottom w:val="single" w:sz="4" w:space="0" w:color="90A93E"/>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single" w:sz="4" w:space="0" w:color="90A93E"/>
              <w:left w:val="nil"/>
              <w:bottom w:val="single" w:sz="4" w:space="0" w:color="90A93E"/>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single" w:sz="4" w:space="0" w:color="90A93E"/>
              <w:left w:val="nil"/>
              <w:bottom w:val="single" w:sz="4" w:space="0" w:color="90A93E"/>
              <w:right w:val="single" w:sz="4" w:space="0" w:color="90A93E"/>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r>
      <w:tr w:rsidR="00511730" w:rsidRPr="00C3026E" w:rsidTr="006F33DE">
        <w:trPr>
          <w:trHeight w:val="170"/>
        </w:trPr>
        <w:tc>
          <w:tcPr>
            <w:tcW w:w="2527" w:type="pct"/>
            <w:tcBorders>
              <w:top w:val="nil"/>
              <w:left w:val="single" w:sz="4" w:space="0" w:color="90A93E"/>
              <w:bottom w:val="nil"/>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Stanje čistih zavarovalno-tehničnih rezervacij</w:t>
            </w:r>
          </w:p>
        </w:tc>
        <w:tc>
          <w:tcPr>
            <w:tcW w:w="607"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1.070.781.309</w:t>
            </w:r>
          </w:p>
        </w:tc>
        <w:tc>
          <w:tcPr>
            <w:tcW w:w="652"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1.026.994.619</w:t>
            </w:r>
          </w:p>
        </w:tc>
        <w:tc>
          <w:tcPr>
            <w:tcW w:w="607" w:type="pct"/>
            <w:tcBorders>
              <w:top w:val="nil"/>
              <w:left w:val="nil"/>
              <w:bottom w:val="nil"/>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204.875.596</w:t>
            </w:r>
          </w:p>
        </w:tc>
        <w:tc>
          <w:tcPr>
            <w:tcW w:w="607" w:type="pct"/>
            <w:tcBorders>
              <w:top w:val="nil"/>
              <w:left w:val="nil"/>
              <w:bottom w:val="nil"/>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b/>
                <w:bCs/>
                <w:color w:val="000000"/>
                <w:sz w:val="18"/>
                <w:szCs w:val="18"/>
                <w:lang w:eastAsia="sl-SI"/>
              </w:rPr>
            </w:pPr>
            <w:r w:rsidRPr="00C3026E">
              <w:rPr>
                <w:rFonts w:asciiTheme="minorHAnsi" w:eastAsia="Times New Roman" w:hAnsiTheme="minorHAnsi" w:cs="Arial"/>
                <w:b/>
                <w:bCs/>
                <w:color w:val="000000"/>
                <w:sz w:val="18"/>
                <w:szCs w:val="18"/>
                <w:lang w:eastAsia="sl-SI"/>
              </w:rPr>
              <w:t>185.794.402</w:t>
            </w:r>
          </w:p>
        </w:tc>
      </w:tr>
      <w:tr w:rsidR="00511730" w:rsidRPr="00C3026E" w:rsidTr="006F33DE">
        <w:trPr>
          <w:trHeight w:val="170"/>
        </w:trPr>
        <w:tc>
          <w:tcPr>
            <w:tcW w:w="2527" w:type="pct"/>
            <w:tcBorders>
              <w:top w:val="single" w:sz="4" w:space="0" w:color="90A93E"/>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 spremembe glede na 31. 12. predhodnega leta</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4,3 %</w:t>
            </w:r>
          </w:p>
        </w:tc>
        <w:tc>
          <w:tcPr>
            <w:tcW w:w="652"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4,4 %</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10,3 %</w:t>
            </w:r>
          </w:p>
        </w:tc>
        <w:tc>
          <w:tcPr>
            <w:tcW w:w="607" w:type="pct"/>
            <w:tcBorders>
              <w:top w:val="single" w:sz="4" w:space="0" w:color="90A93E"/>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1,9 %</w:t>
            </w:r>
          </w:p>
        </w:tc>
      </w:tr>
      <w:tr w:rsidR="00511730" w:rsidRPr="00C3026E" w:rsidTr="006F33DE">
        <w:trPr>
          <w:trHeight w:val="170"/>
        </w:trPr>
        <w:tc>
          <w:tcPr>
            <w:tcW w:w="2527" w:type="pct"/>
            <w:tcBorders>
              <w:top w:val="nil"/>
              <w:left w:val="single" w:sz="4" w:space="0" w:color="90A93E"/>
              <w:bottom w:val="nil"/>
              <w:right w:val="nil"/>
            </w:tcBorders>
            <w:shd w:val="clear" w:color="000000" w:fill="BFBFBF"/>
            <w:vAlign w:val="center"/>
            <w:hideMark/>
          </w:tcPr>
          <w:p w:rsidR="00511730" w:rsidRPr="00C3026E" w:rsidRDefault="00511730" w:rsidP="006F33DE">
            <w:pPr>
              <w:jc w:val="lef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52"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nil"/>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c>
          <w:tcPr>
            <w:tcW w:w="607" w:type="pct"/>
            <w:tcBorders>
              <w:top w:val="nil"/>
              <w:left w:val="nil"/>
              <w:bottom w:val="nil"/>
              <w:right w:val="single" w:sz="4" w:space="0" w:color="90A93E"/>
            </w:tcBorders>
            <w:shd w:val="clear" w:color="000000" w:fill="BFBFBF"/>
            <w:vAlign w:val="center"/>
            <w:hideMark/>
          </w:tcPr>
          <w:p w:rsidR="00511730" w:rsidRPr="00C3026E" w:rsidRDefault="00511730" w:rsidP="006F33DE">
            <w:pPr>
              <w:jc w:val="right"/>
              <w:rPr>
                <w:rFonts w:asciiTheme="minorHAnsi" w:eastAsia="Times New Roman" w:hAnsiTheme="minorHAnsi" w:cs="Arial"/>
                <w:sz w:val="18"/>
                <w:szCs w:val="18"/>
                <w:lang w:eastAsia="sl-SI"/>
              </w:rPr>
            </w:pPr>
            <w:r w:rsidRPr="00C3026E">
              <w:rPr>
                <w:rFonts w:asciiTheme="minorHAnsi" w:eastAsia="Times New Roman" w:hAnsiTheme="minorHAnsi" w:cs="Arial"/>
                <w:sz w:val="18"/>
                <w:szCs w:val="18"/>
                <w:lang w:eastAsia="sl-SI"/>
              </w:rPr>
              <w:t> </w:t>
            </w:r>
          </w:p>
        </w:tc>
      </w:tr>
      <w:tr w:rsidR="00511730" w:rsidRPr="00C3026E" w:rsidTr="006F33DE">
        <w:trPr>
          <w:trHeight w:val="170"/>
        </w:trPr>
        <w:tc>
          <w:tcPr>
            <w:tcW w:w="2527" w:type="pct"/>
            <w:tcBorders>
              <w:top w:val="single" w:sz="4" w:space="0" w:color="90A93E"/>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Knjigovodska vrednost delnice</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17,38</w:t>
            </w:r>
          </w:p>
        </w:tc>
        <w:tc>
          <w:tcPr>
            <w:tcW w:w="652"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16,46</w:t>
            </w:r>
          </w:p>
        </w:tc>
        <w:tc>
          <w:tcPr>
            <w:tcW w:w="607" w:type="pct"/>
            <w:tcBorders>
              <w:top w:val="single" w:sz="4" w:space="0" w:color="90A93E"/>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16,00</w:t>
            </w:r>
          </w:p>
        </w:tc>
        <w:tc>
          <w:tcPr>
            <w:tcW w:w="607" w:type="pct"/>
            <w:tcBorders>
              <w:top w:val="single" w:sz="4" w:space="0" w:color="90A93E"/>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15,65</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Čisti poslovni izid na delnico</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2,02</w:t>
            </w:r>
          </w:p>
        </w:tc>
        <w:tc>
          <w:tcPr>
            <w:tcW w:w="652"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1,82</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0,98</w:t>
            </w:r>
          </w:p>
        </w:tc>
        <w:tc>
          <w:tcPr>
            <w:tcW w:w="607" w:type="pct"/>
            <w:tcBorders>
              <w:top w:val="nil"/>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1,33</w:t>
            </w:r>
          </w:p>
        </w:tc>
      </w:tr>
      <w:tr w:rsidR="00511730" w:rsidRPr="00C3026E" w:rsidTr="006F33DE">
        <w:trPr>
          <w:trHeight w:val="170"/>
        </w:trPr>
        <w:tc>
          <w:tcPr>
            <w:tcW w:w="2527" w:type="pct"/>
            <w:tcBorders>
              <w:top w:val="nil"/>
              <w:left w:val="single" w:sz="4" w:space="0" w:color="90A93E"/>
              <w:bottom w:val="single" w:sz="4" w:space="0" w:color="90A93E"/>
              <w:right w:val="nil"/>
            </w:tcBorders>
            <w:shd w:val="clear" w:color="auto" w:fill="auto"/>
            <w:vAlign w:val="center"/>
            <w:hideMark/>
          </w:tcPr>
          <w:p w:rsidR="00511730" w:rsidRPr="00C3026E" w:rsidRDefault="00511730" w:rsidP="006F33DE">
            <w:pPr>
              <w:jc w:val="lef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Število zaposlenih (ekvivalent polnega delovnega časa)</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2.489</w:t>
            </w:r>
          </w:p>
        </w:tc>
        <w:tc>
          <w:tcPr>
            <w:tcW w:w="652"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2.442</w:t>
            </w:r>
          </w:p>
        </w:tc>
        <w:tc>
          <w:tcPr>
            <w:tcW w:w="607" w:type="pct"/>
            <w:tcBorders>
              <w:top w:val="nil"/>
              <w:left w:val="nil"/>
              <w:bottom w:val="single" w:sz="4" w:space="0" w:color="90A93E"/>
              <w:right w:val="nil"/>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83</w:t>
            </w:r>
          </w:p>
        </w:tc>
        <w:tc>
          <w:tcPr>
            <w:tcW w:w="607" w:type="pct"/>
            <w:tcBorders>
              <w:top w:val="nil"/>
              <w:left w:val="nil"/>
              <w:bottom w:val="single" w:sz="4" w:space="0" w:color="90A93E"/>
              <w:right w:val="single" w:sz="4" w:space="0" w:color="90A93E"/>
            </w:tcBorders>
            <w:shd w:val="clear" w:color="auto" w:fill="auto"/>
            <w:noWrap/>
            <w:vAlign w:val="center"/>
            <w:hideMark/>
          </w:tcPr>
          <w:p w:rsidR="00511730" w:rsidRPr="00C3026E" w:rsidRDefault="00511730" w:rsidP="006F33DE">
            <w:pPr>
              <w:jc w:val="right"/>
              <w:rPr>
                <w:rFonts w:asciiTheme="minorHAnsi" w:eastAsia="Times New Roman" w:hAnsiTheme="minorHAnsi" w:cs="Arial"/>
                <w:color w:val="000000"/>
                <w:sz w:val="18"/>
                <w:szCs w:val="18"/>
                <w:lang w:eastAsia="sl-SI"/>
              </w:rPr>
            </w:pPr>
            <w:r w:rsidRPr="00C3026E">
              <w:rPr>
                <w:rFonts w:asciiTheme="minorHAnsi" w:eastAsia="Times New Roman" w:hAnsiTheme="minorHAnsi" w:cs="Arial"/>
                <w:color w:val="000000"/>
                <w:sz w:val="18"/>
                <w:szCs w:val="18"/>
                <w:lang w:eastAsia="sl-SI"/>
              </w:rPr>
              <w:t>79</w:t>
            </w:r>
          </w:p>
        </w:tc>
      </w:tr>
    </w:tbl>
    <w:p w:rsidR="00511730" w:rsidRPr="00C3026E" w:rsidRDefault="00511730" w:rsidP="00511730">
      <w:pPr>
        <w:rPr>
          <w:rFonts w:asciiTheme="minorHAnsi" w:hAnsiTheme="minorHAnsi"/>
          <w:sz w:val="18"/>
          <w:szCs w:val="18"/>
        </w:rPr>
      </w:pPr>
      <w:r w:rsidRPr="00C3026E">
        <w:rPr>
          <w:rFonts w:asciiTheme="minorHAnsi" w:hAnsiTheme="minorHAnsi"/>
          <w:sz w:val="18"/>
          <w:szCs w:val="18"/>
        </w:rPr>
        <w:t>*Čisti merodajni škodni količnik in čisti kombinirani količnik za skupino sta izračunana za poslovna odseka pozavarovanje in premoženje.</w:t>
      </w:r>
    </w:p>
    <w:p w:rsidR="0060323F" w:rsidRPr="00C3026E" w:rsidRDefault="0060323F" w:rsidP="0043152B">
      <w:pPr>
        <w:spacing w:line="276" w:lineRule="auto"/>
        <w:rPr>
          <w:rFonts w:asciiTheme="minorHAnsi" w:hAnsiTheme="minorHAnsi"/>
          <w:i/>
          <w:sz w:val="22"/>
        </w:rPr>
      </w:pPr>
    </w:p>
    <w:p w:rsidR="0060323F" w:rsidRPr="00C3026E" w:rsidRDefault="0060323F" w:rsidP="0043152B">
      <w:pPr>
        <w:spacing w:line="276" w:lineRule="auto"/>
        <w:rPr>
          <w:rFonts w:asciiTheme="minorHAnsi" w:hAnsiTheme="minorHAnsi"/>
          <w:i/>
          <w:sz w:val="22"/>
        </w:rPr>
      </w:pPr>
    </w:p>
    <w:p w:rsidR="0043152B" w:rsidRPr="00C3026E" w:rsidRDefault="00511730" w:rsidP="0043152B">
      <w:pPr>
        <w:spacing w:line="276" w:lineRule="auto"/>
        <w:rPr>
          <w:rFonts w:asciiTheme="minorHAnsi" w:hAnsiTheme="minorHAnsi"/>
          <w:i/>
          <w:sz w:val="22"/>
        </w:rPr>
      </w:pPr>
      <w:r w:rsidRPr="00C3026E">
        <w:rPr>
          <w:rFonts w:asciiTheme="minorHAnsi" w:hAnsiTheme="minorHAnsi"/>
          <w:i/>
          <w:sz w:val="22"/>
        </w:rPr>
        <w:t>Načrti za leto 2016</w:t>
      </w:r>
    </w:p>
    <w:p w:rsidR="007C3F01" w:rsidRPr="00C3026E" w:rsidRDefault="00E13EB5" w:rsidP="007C3F01">
      <w:r w:rsidRPr="00C3026E">
        <w:rPr>
          <w:rFonts w:asciiTheme="minorHAnsi" w:hAnsiTheme="minorHAnsi"/>
          <w:sz w:val="22"/>
        </w:rPr>
        <w:t>N</w:t>
      </w:r>
      <w:r w:rsidR="00511730" w:rsidRPr="00C3026E">
        <w:rPr>
          <w:rFonts w:asciiTheme="minorHAnsi" w:hAnsiTheme="minorHAnsi"/>
          <w:sz w:val="22"/>
        </w:rPr>
        <w:t xml:space="preserve">ačrtujemo, da bo skupina </w:t>
      </w:r>
      <w:r w:rsidRPr="00C3026E">
        <w:rPr>
          <w:rFonts w:asciiTheme="minorHAnsi" w:hAnsiTheme="minorHAnsi"/>
          <w:sz w:val="22"/>
        </w:rPr>
        <w:t xml:space="preserve">v letu 2016 </w:t>
      </w:r>
      <w:r w:rsidR="00511730" w:rsidRPr="00C3026E">
        <w:rPr>
          <w:rFonts w:asciiTheme="minorHAnsi" w:hAnsiTheme="minorHAnsi"/>
          <w:sz w:val="22"/>
        </w:rPr>
        <w:t>zbrala 487,9 milijon</w:t>
      </w:r>
      <w:r w:rsidR="00C5384E">
        <w:rPr>
          <w:rFonts w:asciiTheme="minorHAnsi" w:hAnsiTheme="minorHAnsi"/>
          <w:sz w:val="22"/>
        </w:rPr>
        <w:t>a</w:t>
      </w:r>
      <w:r w:rsidR="00511730" w:rsidRPr="00C3026E">
        <w:rPr>
          <w:rFonts w:asciiTheme="minorHAnsi" w:hAnsiTheme="minorHAnsi"/>
          <w:sz w:val="22"/>
        </w:rPr>
        <w:t xml:space="preserve"> evrov kosmatih premij, kar pomeni 0,3</w:t>
      </w:r>
      <w:r w:rsidR="00C5384E">
        <w:rPr>
          <w:rFonts w:asciiTheme="minorHAnsi" w:hAnsiTheme="minorHAnsi"/>
          <w:sz w:val="22"/>
        </w:rPr>
        <w:t>-odstotno</w:t>
      </w:r>
      <w:r w:rsidR="00511730" w:rsidRPr="00C3026E">
        <w:rPr>
          <w:rFonts w:asciiTheme="minorHAnsi" w:hAnsiTheme="minorHAnsi"/>
          <w:sz w:val="22"/>
        </w:rPr>
        <w:t xml:space="preserve"> rast v primerjavi z letom 2015. </w:t>
      </w:r>
      <w:r w:rsidRPr="00C3026E">
        <w:rPr>
          <w:rFonts w:asciiTheme="minorHAnsi" w:hAnsiTheme="minorHAnsi"/>
          <w:sz w:val="22"/>
        </w:rPr>
        <w:t xml:space="preserve">Načrtujemo </w:t>
      </w:r>
      <w:r w:rsidR="00511730" w:rsidRPr="00C3026E">
        <w:rPr>
          <w:rFonts w:asciiTheme="minorHAnsi" w:hAnsiTheme="minorHAnsi"/>
          <w:sz w:val="22"/>
        </w:rPr>
        <w:t>rast premoženjskih zavarovanj izven Slovenije</w:t>
      </w:r>
      <w:r w:rsidRPr="00C3026E">
        <w:rPr>
          <w:rFonts w:asciiTheme="minorHAnsi" w:hAnsiTheme="minorHAnsi"/>
          <w:sz w:val="22"/>
        </w:rPr>
        <w:t xml:space="preserve"> v višini</w:t>
      </w:r>
      <w:r w:rsidR="00511730" w:rsidRPr="00C3026E">
        <w:rPr>
          <w:rFonts w:asciiTheme="minorHAnsi" w:hAnsiTheme="minorHAnsi"/>
          <w:sz w:val="22"/>
        </w:rPr>
        <w:t xml:space="preserve"> 4,8</w:t>
      </w:r>
      <w:r w:rsidR="00C5384E">
        <w:rPr>
          <w:rFonts w:asciiTheme="minorHAnsi" w:hAnsiTheme="minorHAnsi"/>
          <w:sz w:val="22"/>
        </w:rPr>
        <w:t> odstotkov</w:t>
      </w:r>
      <w:r w:rsidRPr="00C3026E">
        <w:rPr>
          <w:rFonts w:asciiTheme="minorHAnsi" w:hAnsiTheme="minorHAnsi"/>
          <w:sz w:val="22"/>
        </w:rPr>
        <w:t xml:space="preserve"> in</w:t>
      </w:r>
      <w:r w:rsidR="00511730" w:rsidRPr="00C3026E">
        <w:rPr>
          <w:rFonts w:asciiTheme="minorHAnsi" w:hAnsiTheme="minorHAnsi"/>
          <w:sz w:val="22"/>
        </w:rPr>
        <w:t xml:space="preserve"> življenjskih zavarovanj izven Slovenije </w:t>
      </w:r>
      <w:r w:rsidRPr="00C3026E">
        <w:rPr>
          <w:rFonts w:asciiTheme="minorHAnsi" w:hAnsiTheme="minorHAnsi"/>
          <w:sz w:val="22"/>
        </w:rPr>
        <w:t xml:space="preserve">v višini </w:t>
      </w:r>
      <w:r w:rsidR="00511730" w:rsidRPr="00C3026E">
        <w:rPr>
          <w:rFonts w:asciiTheme="minorHAnsi" w:hAnsiTheme="minorHAnsi"/>
          <w:sz w:val="22"/>
        </w:rPr>
        <w:t>11,7</w:t>
      </w:r>
      <w:r w:rsidR="00C5384E">
        <w:rPr>
          <w:rFonts w:asciiTheme="minorHAnsi" w:hAnsiTheme="minorHAnsi"/>
          <w:sz w:val="22"/>
        </w:rPr>
        <w:t> odstotka</w:t>
      </w:r>
      <w:r w:rsidR="00511730" w:rsidRPr="00C3026E">
        <w:rPr>
          <w:rFonts w:asciiTheme="minorHAnsi" w:hAnsiTheme="minorHAnsi"/>
          <w:sz w:val="22"/>
        </w:rPr>
        <w:t xml:space="preserve">. V Sloveniji načrtujemo ohranitev višine kosmate premije. Kljub </w:t>
      </w:r>
      <w:r w:rsidRPr="00C3026E">
        <w:rPr>
          <w:rFonts w:asciiTheme="minorHAnsi" w:hAnsiTheme="minorHAnsi"/>
          <w:sz w:val="22"/>
        </w:rPr>
        <w:t>ambicioznim</w:t>
      </w:r>
      <w:r w:rsidR="00511730" w:rsidRPr="00C3026E">
        <w:rPr>
          <w:rFonts w:asciiTheme="minorHAnsi" w:hAnsiTheme="minorHAnsi"/>
          <w:sz w:val="22"/>
        </w:rPr>
        <w:t xml:space="preserve"> </w:t>
      </w:r>
      <w:r w:rsidRPr="00C3026E">
        <w:rPr>
          <w:rFonts w:asciiTheme="minorHAnsi" w:hAnsiTheme="minorHAnsi"/>
          <w:sz w:val="22"/>
        </w:rPr>
        <w:t xml:space="preserve">načrtom </w:t>
      </w:r>
      <w:r w:rsidR="00511730" w:rsidRPr="00C3026E">
        <w:rPr>
          <w:rFonts w:asciiTheme="minorHAnsi" w:hAnsiTheme="minorHAnsi"/>
          <w:sz w:val="22"/>
        </w:rPr>
        <w:t xml:space="preserve">rasti števila novo sklenjenih polic </w:t>
      </w:r>
      <w:r w:rsidRPr="00C3026E">
        <w:rPr>
          <w:rFonts w:asciiTheme="minorHAnsi" w:hAnsiTheme="minorHAnsi"/>
          <w:sz w:val="22"/>
        </w:rPr>
        <w:t xml:space="preserve">bo </w:t>
      </w:r>
      <w:r w:rsidR="00511730" w:rsidRPr="00C3026E">
        <w:rPr>
          <w:rFonts w:asciiTheme="minorHAnsi" w:hAnsiTheme="minorHAnsi"/>
          <w:sz w:val="22"/>
        </w:rPr>
        <w:t>načrtovan</w:t>
      </w:r>
      <w:r w:rsidRPr="00C3026E">
        <w:rPr>
          <w:rFonts w:asciiTheme="minorHAnsi" w:hAnsiTheme="minorHAnsi"/>
          <w:sz w:val="22"/>
        </w:rPr>
        <w:t>a</w:t>
      </w:r>
      <w:r w:rsidR="00511730" w:rsidRPr="00C3026E">
        <w:rPr>
          <w:rFonts w:asciiTheme="minorHAnsi" w:hAnsiTheme="minorHAnsi"/>
          <w:sz w:val="22"/>
        </w:rPr>
        <w:t xml:space="preserve"> rast </w:t>
      </w:r>
      <w:r w:rsidRPr="00C3026E">
        <w:rPr>
          <w:rFonts w:asciiTheme="minorHAnsi" w:hAnsiTheme="minorHAnsi"/>
          <w:sz w:val="22"/>
        </w:rPr>
        <w:t xml:space="preserve">omejena s povečanim </w:t>
      </w:r>
      <w:r w:rsidR="00511730" w:rsidRPr="00C3026E">
        <w:rPr>
          <w:rFonts w:asciiTheme="minorHAnsi" w:hAnsiTheme="minorHAnsi"/>
          <w:sz w:val="22"/>
        </w:rPr>
        <w:t>število</w:t>
      </w:r>
      <w:r w:rsidRPr="00C3026E">
        <w:rPr>
          <w:rFonts w:asciiTheme="minorHAnsi" w:hAnsiTheme="minorHAnsi"/>
          <w:sz w:val="22"/>
        </w:rPr>
        <w:t>m</w:t>
      </w:r>
      <w:r w:rsidR="00511730" w:rsidRPr="00C3026E">
        <w:rPr>
          <w:rFonts w:asciiTheme="minorHAnsi" w:hAnsiTheme="minorHAnsi"/>
          <w:sz w:val="22"/>
        </w:rPr>
        <w:t xml:space="preserve"> odkupov polic življenjskih zavarovanj.</w:t>
      </w:r>
      <w:r w:rsidR="007C3F01" w:rsidRPr="00C3026E">
        <w:t xml:space="preserve"> </w:t>
      </w:r>
    </w:p>
    <w:p w:rsidR="0053503D" w:rsidRPr="00C3026E" w:rsidRDefault="0053503D" w:rsidP="007C3F01"/>
    <w:p w:rsidR="00511730" w:rsidRPr="00C3026E" w:rsidRDefault="00511730" w:rsidP="00511730">
      <w:pPr>
        <w:spacing w:after="200" w:line="276" w:lineRule="auto"/>
        <w:rPr>
          <w:rFonts w:asciiTheme="minorHAnsi" w:hAnsiTheme="minorHAnsi"/>
          <w:sz w:val="22"/>
        </w:rPr>
      </w:pPr>
      <w:r w:rsidRPr="00C3026E">
        <w:rPr>
          <w:rFonts w:asciiTheme="minorHAnsi" w:hAnsiTheme="minorHAnsi"/>
          <w:sz w:val="22"/>
        </w:rPr>
        <w:t xml:space="preserve">Zaradi načrtovanih </w:t>
      </w:r>
      <w:r w:rsidR="00E13EB5" w:rsidRPr="00C3026E">
        <w:rPr>
          <w:rFonts w:asciiTheme="minorHAnsi" w:hAnsiTheme="minorHAnsi"/>
          <w:sz w:val="22"/>
        </w:rPr>
        <w:t xml:space="preserve">vlaganj </w:t>
      </w:r>
      <w:r w:rsidRPr="00C3026E">
        <w:rPr>
          <w:rFonts w:asciiTheme="minorHAnsi" w:hAnsiTheme="minorHAnsi"/>
          <w:sz w:val="22"/>
        </w:rPr>
        <w:t>v nepremičnine za opravljanje dejavnosti v slovenskem delu skupine načrtujemo rahlo povišanje stroškovnega količnika, na škodnem delu pa nadaljnje znižanje merodajnega škodnega količnika. Skupaj naj bi načrtovani kombinirani količnik dosegel dolgoročni cilj in tako padel pod 95</w:t>
      </w:r>
      <w:r w:rsidR="00E13EB5" w:rsidRPr="00C3026E">
        <w:rPr>
          <w:rFonts w:asciiTheme="minorHAnsi" w:hAnsiTheme="minorHAnsi"/>
          <w:sz w:val="22"/>
        </w:rPr>
        <w:t xml:space="preserve"> </w:t>
      </w:r>
      <w:r w:rsidR="00C5384E">
        <w:rPr>
          <w:rFonts w:asciiTheme="minorHAnsi" w:hAnsiTheme="minorHAnsi"/>
          <w:sz w:val="22"/>
        </w:rPr>
        <w:t>odstotkov</w:t>
      </w:r>
      <w:r w:rsidRPr="00C3026E">
        <w:rPr>
          <w:rFonts w:asciiTheme="minorHAnsi" w:hAnsiTheme="minorHAnsi"/>
          <w:sz w:val="22"/>
        </w:rPr>
        <w:t>.</w:t>
      </w:r>
    </w:p>
    <w:p w:rsidR="00511730" w:rsidRPr="00C3026E" w:rsidRDefault="00511730" w:rsidP="00511730">
      <w:pPr>
        <w:spacing w:after="200" w:line="276" w:lineRule="auto"/>
        <w:rPr>
          <w:rFonts w:asciiTheme="minorHAnsi" w:hAnsiTheme="minorHAnsi"/>
          <w:sz w:val="22"/>
        </w:rPr>
      </w:pPr>
      <w:r w:rsidRPr="00C3026E">
        <w:rPr>
          <w:rFonts w:asciiTheme="minorHAnsi" w:hAnsiTheme="minorHAnsi"/>
          <w:sz w:val="22"/>
        </w:rPr>
        <w:t>Za</w:t>
      </w:r>
      <w:r w:rsidR="007C3F01" w:rsidRPr="00C3026E">
        <w:rPr>
          <w:rFonts w:asciiTheme="minorHAnsi" w:hAnsiTheme="minorHAnsi"/>
          <w:sz w:val="22"/>
        </w:rPr>
        <w:t>stavljen cilj za</w:t>
      </w:r>
      <w:r w:rsidRPr="00C3026E">
        <w:rPr>
          <w:rFonts w:asciiTheme="minorHAnsi" w:hAnsiTheme="minorHAnsi"/>
          <w:sz w:val="22"/>
        </w:rPr>
        <w:t xml:space="preserve"> leto 2016 </w:t>
      </w:r>
      <w:r w:rsidR="007C3F01" w:rsidRPr="00C3026E">
        <w:rPr>
          <w:rFonts w:asciiTheme="minorHAnsi" w:hAnsiTheme="minorHAnsi"/>
          <w:sz w:val="22"/>
        </w:rPr>
        <w:t>je tudi</w:t>
      </w:r>
      <w:r w:rsidRPr="00C3026E">
        <w:rPr>
          <w:rFonts w:asciiTheme="minorHAnsi" w:hAnsiTheme="minorHAnsi"/>
          <w:sz w:val="22"/>
        </w:rPr>
        <w:t xml:space="preserve"> 33,4 milijona </w:t>
      </w:r>
      <w:r w:rsidR="00C5384E">
        <w:rPr>
          <w:rFonts w:asciiTheme="minorHAnsi" w:hAnsiTheme="minorHAnsi"/>
          <w:sz w:val="22"/>
        </w:rPr>
        <w:t>evrov</w:t>
      </w:r>
      <w:r w:rsidR="00C5384E" w:rsidRPr="00C3026E">
        <w:rPr>
          <w:rFonts w:asciiTheme="minorHAnsi" w:hAnsiTheme="minorHAnsi"/>
          <w:sz w:val="22"/>
        </w:rPr>
        <w:t xml:space="preserve"> </w:t>
      </w:r>
      <w:r w:rsidRPr="00C3026E">
        <w:rPr>
          <w:rFonts w:asciiTheme="minorHAnsi" w:hAnsiTheme="minorHAnsi"/>
          <w:sz w:val="22"/>
        </w:rPr>
        <w:t>čistega poslovnega izida</w:t>
      </w:r>
      <w:r w:rsidR="007C3F01" w:rsidRPr="00C3026E">
        <w:rPr>
          <w:rFonts w:asciiTheme="minorHAnsi" w:hAnsiTheme="minorHAnsi"/>
          <w:sz w:val="22"/>
        </w:rPr>
        <w:t xml:space="preserve"> za skupino</w:t>
      </w:r>
      <w:r w:rsidRPr="00C3026E">
        <w:rPr>
          <w:rFonts w:asciiTheme="minorHAnsi" w:hAnsiTheme="minorHAnsi"/>
          <w:sz w:val="22"/>
        </w:rPr>
        <w:t>, kar pomeni 11,6</w:t>
      </w:r>
      <w:r w:rsidR="00C5384E">
        <w:rPr>
          <w:rFonts w:asciiTheme="minorHAnsi" w:hAnsiTheme="minorHAnsi"/>
          <w:sz w:val="22"/>
        </w:rPr>
        <w:t>-odstotno</w:t>
      </w:r>
      <w:r w:rsidRPr="00C3026E">
        <w:rPr>
          <w:rFonts w:asciiTheme="minorHAnsi" w:hAnsiTheme="minorHAnsi"/>
          <w:sz w:val="22"/>
        </w:rPr>
        <w:t xml:space="preserve"> donosnost lastniškega kapitala in je </w:t>
      </w:r>
      <w:r w:rsidR="007C3F01" w:rsidRPr="00C3026E">
        <w:rPr>
          <w:rFonts w:asciiTheme="minorHAnsi" w:hAnsiTheme="minorHAnsi"/>
          <w:sz w:val="22"/>
        </w:rPr>
        <w:t xml:space="preserve">v skladu </w:t>
      </w:r>
      <w:r w:rsidRPr="00C3026E">
        <w:rPr>
          <w:rFonts w:asciiTheme="minorHAnsi" w:hAnsiTheme="minorHAnsi"/>
          <w:sz w:val="22"/>
        </w:rPr>
        <w:t>z dolgoročnim ciljem skupine Sava Re.</w:t>
      </w:r>
    </w:p>
    <w:p w:rsidR="007C3F01" w:rsidRPr="00C3026E" w:rsidRDefault="007C3F01" w:rsidP="00511730"/>
    <w:p w:rsidR="007C3F01" w:rsidRPr="00C3026E" w:rsidRDefault="007C3F01" w:rsidP="00511730">
      <w:pPr>
        <w:rPr>
          <w:rFonts w:asciiTheme="minorHAnsi" w:hAnsiTheme="minorHAnsi"/>
          <w:sz w:val="22"/>
        </w:rPr>
      </w:pPr>
    </w:p>
    <w:p w:rsidR="00BF391C" w:rsidRPr="00C3026E" w:rsidRDefault="00C5384E" w:rsidP="00511730">
      <w:pPr>
        <w:rPr>
          <w:rFonts w:asciiTheme="minorHAnsi" w:hAnsiTheme="minorHAnsi"/>
          <w:sz w:val="22"/>
        </w:rPr>
      </w:pPr>
      <w:r>
        <w:rPr>
          <w:rFonts w:asciiTheme="minorHAnsi" w:hAnsiTheme="minorHAnsi"/>
          <w:sz w:val="22"/>
        </w:rPr>
        <w:t>Navedene rezultate poslovanja in načrte bomo predstavili na današnji tiskovni konferenci in na srečanju z analitiki. Predstavitev v pisni obliki bo na voljo na naši spletni strani.</w:t>
      </w:r>
    </w:p>
    <w:p w:rsidR="0060323F" w:rsidRPr="00C3026E" w:rsidRDefault="0060323F" w:rsidP="00511730">
      <w:pPr>
        <w:rPr>
          <w:rFonts w:asciiTheme="minorHAnsi" w:hAnsiTheme="minorHAnsi"/>
          <w:sz w:val="22"/>
        </w:rPr>
      </w:pPr>
    </w:p>
    <w:p w:rsidR="0060323F" w:rsidRPr="00C3026E" w:rsidRDefault="0060323F" w:rsidP="00511730">
      <w:pPr>
        <w:rPr>
          <w:rFonts w:asciiTheme="minorHAnsi" w:hAnsiTheme="minorHAnsi"/>
          <w:sz w:val="22"/>
        </w:rPr>
      </w:pPr>
    </w:p>
    <w:p w:rsidR="0060323F" w:rsidRPr="00C3026E" w:rsidRDefault="0060323F" w:rsidP="00511730">
      <w:pPr>
        <w:rPr>
          <w:rFonts w:asciiTheme="minorHAnsi" w:hAnsiTheme="minorHAnsi"/>
          <w:sz w:val="22"/>
        </w:rPr>
      </w:pPr>
      <w:r w:rsidRPr="00C3026E">
        <w:rPr>
          <w:rFonts w:asciiTheme="minorHAnsi" w:hAnsiTheme="minorHAnsi"/>
          <w:sz w:val="22"/>
        </w:rPr>
        <w:t>Uprava Pozavarovalnice Sava, d. d.</w:t>
      </w:r>
    </w:p>
    <w:p w:rsidR="0060323F" w:rsidRPr="00C3026E" w:rsidRDefault="0060323F" w:rsidP="00511730">
      <w:pPr>
        <w:rPr>
          <w:rFonts w:asciiTheme="minorHAnsi" w:hAnsiTheme="minorHAnsi"/>
          <w:sz w:val="22"/>
        </w:rPr>
      </w:pPr>
    </w:p>
    <w:p w:rsidR="0060323F" w:rsidRPr="00C3026E" w:rsidRDefault="0060323F" w:rsidP="00511730">
      <w:pPr>
        <w:rPr>
          <w:rFonts w:asciiTheme="minorHAnsi" w:hAnsiTheme="minorHAnsi"/>
          <w:sz w:val="22"/>
        </w:rPr>
      </w:pPr>
    </w:p>
    <w:p w:rsidR="0060323F" w:rsidRPr="00C3026E" w:rsidRDefault="0060323F" w:rsidP="00511730">
      <w:pPr>
        <w:rPr>
          <w:rFonts w:asciiTheme="minorHAnsi" w:hAnsiTheme="minorHAnsi"/>
          <w:sz w:val="22"/>
        </w:rPr>
      </w:pPr>
    </w:p>
    <w:p w:rsidR="0060323F" w:rsidRPr="00C3026E" w:rsidRDefault="0060323F" w:rsidP="00511730">
      <w:pPr>
        <w:rPr>
          <w:rFonts w:asciiTheme="minorHAnsi" w:hAnsiTheme="minorHAnsi"/>
          <w:sz w:val="22"/>
        </w:rPr>
      </w:pPr>
    </w:p>
    <w:p w:rsidR="0060323F" w:rsidRPr="00762214" w:rsidRDefault="0060323F" w:rsidP="00511730">
      <w:pPr>
        <w:rPr>
          <w:rFonts w:asciiTheme="minorHAnsi" w:hAnsiTheme="minorHAnsi"/>
          <w:sz w:val="22"/>
        </w:rPr>
      </w:pPr>
      <w:r w:rsidRPr="00C3026E">
        <w:rPr>
          <w:rFonts w:asciiTheme="minorHAnsi" w:hAnsiTheme="minorHAnsi"/>
          <w:sz w:val="22"/>
        </w:rPr>
        <w:t>Ljubljana, 10. 3. 2016</w:t>
      </w:r>
    </w:p>
    <w:sectPr w:rsidR="0060323F" w:rsidRPr="0076221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296" w:rsidRDefault="00733296" w:rsidP="0060323F">
      <w:r>
        <w:separator/>
      </w:r>
    </w:p>
  </w:endnote>
  <w:endnote w:type="continuationSeparator" w:id="0">
    <w:p w:rsidR="00733296" w:rsidRDefault="00733296" w:rsidP="0060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157205"/>
      <w:docPartObj>
        <w:docPartGallery w:val="Page Numbers (Bottom of Page)"/>
        <w:docPartUnique/>
      </w:docPartObj>
    </w:sdtPr>
    <w:sdtEndPr/>
    <w:sdtContent>
      <w:sdt>
        <w:sdtPr>
          <w:id w:val="-1769616900"/>
          <w:docPartObj>
            <w:docPartGallery w:val="Page Numbers (Top of Page)"/>
            <w:docPartUnique/>
          </w:docPartObj>
        </w:sdtPr>
        <w:sdtEndPr/>
        <w:sdtContent>
          <w:p w:rsidR="007C3F01" w:rsidRDefault="007C3F01">
            <w:pPr>
              <w:pStyle w:val="Noga"/>
              <w:jc w:val="right"/>
            </w:pPr>
            <w:r w:rsidRPr="007C3F01">
              <w:rPr>
                <w:b/>
                <w:bCs/>
                <w:sz w:val="18"/>
                <w:szCs w:val="18"/>
              </w:rPr>
              <w:fldChar w:fldCharType="begin"/>
            </w:r>
            <w:r w:rsidRPr="007C3F01">
              <w:rPr>
                <w:b/>
                <w:bCs/>
                <w:sz w:val="18"/>
                <w:szCs w:val="18"/>
              </w:rPr>
              <w:instrText>PAGE</w:instrText>
            </w:r>
            <w:r w:rsidRPr="007C3F01">
              <w:rPr>
                <w:b/>
                <w:bCs/>
                <w:sz w:val="18"/>
                <w:szCs w:val="18"/>
              </w:rPr>
              <w:fldChar w:fldCharType="separate"/>
            </w:r>
            <w:r w:rsidR="00A927DA">
              <w:rPr>
                <w:b/>
                <w:bCs/>
                <w:noProof/>
                <w:sz w:val="18"/>
                <w:szCs w:val="18"/>
              </w:rPr>
              <w:t>1</w:t>
            </w:r>
            <w:r w:rsidRPr="007C3F01">
              <w:rPr>
                <w:b/>
                <w:bCs/>
                <w:sz w:val="18"/>
                <w:szCs w:val="18"/>
              </w:rPr>
              <w:fldChar w:fldCharType="end"/>
            </w:r>
            <w:r w:rsidRPr="007C3F01">
              <w:rPr>
                <w:sz w:val="18"/>
                <w:szCs w:val="18"/>
              </w:rPr>
              <w:t xml:space="preserve"> / </w:t>
            </w:r>
            <w:r w:rsidRPr="007C3F01">
              <w:rPr>
                <w:b/>
                <w:bCs/>
                <w:sz w:val="18"/>
                <w:szCs w:val="18"/>
              </w:rPr>
              <w:fldChar w:fldCharType="begin"/>
            </w:r>
            <w:r w:rsidRPr="007C3F01">
              <w:rPr>
                <w:b/>
                <w:bCs/>
                <w:sz w:val="18"/>
                <w:szCs w:val="18"/>
              </w:rPr>
              <w:instrText>NUMPAGES</w:instrText>
            </w:r>
            <w:r w:rsidRPr="007C3F01">
              <w:rPr>
                <w:b/>
                <w:bCs/>
                <w:sz w:val="18"/>
                <w:szCs w:val="18"/>
              </w:rPr>
              <w:fldChar w:fldCharType="separate"/>
            </w:r>
            <w:r w:rsidR="00A927DA">
              <w:rPr>
                <w:b/>
                <w:bCs/>
                <w:noProof/>
                <w:sz w:val="18"/>
                <w:szCs w:val="18"/>
              </w:rPr>
              <w:t>3</w:t>
            </w:r>
            <w:r w:rsidRPr="007C3F01">
              <w:rPr>
                <w:b/>
                <w:bCs/>
                <w:sz w:val="18"/>
                <w:szCs w:val="18"/>
              </w:rPr>
              <w:fldChar w:fldCharType="end"/>
            </w:r>
          </w:p>
        </w:sdtContent>
      </w:sdt>
    </w:sdtContent>
  </w:sdt>
  <w:p w:rsidR="007C3F01" w:rsidRDefault="007C3F0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296" w:rsidRDefault="00733296" w:rsidP="0060323F">
      <w:r>
        <w:separator/>
      </w:r>
    </w:p>
  </w:footnote>
  <w:footnote w:type="continuationSeparator" w:id="0">
    <w:p w:rsidR="00733296" w:rsidRDefault="00733296" w:rsidP="00603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23F" w:rsidRDefault="0060323F" w:rsidP="0060323F">
    <w:pPr>
      <w:pStyle w:val="Glava"/>
      <w:jc w:val="center"/>
    </w:pPr>
    <w:r w:rsidRPr="00762214">
      <w:rPr>
        <w:rFonts w:asciiTheme="minorHAnsi" w:hAnsiTheme="minorHAnsi"/>
        <w:noProof/>
        <w:sz w:val="22"/>
        <w:lang w:eastAsia="sl-SI"/>
      </w:rPr>
      <w:drawing>
        <wp:inline distT="0" distB="0" distL="0" distR="0" wp14:anchorId="1D6DB4E6" wp14:editId="14C19D1F">
          <wp:extent cx="1990725" cy="622507"/>
          <wp:effectExtent l="0" t="0" r="0" b="6350"/>
          <wp:docPr id="1" name="Slika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1995" cy="6322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B677E"/>
    <w:multiLevelType w:val="hybridMultilevel"/>
    <w:tmpl w:val="3D5411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lona Pirš Zupančič">
    <w15:presenceInfo w15:providerId="AD" w15:userId="S-1-5-21-3500578252-184092392-4263334949-1255"/>
  </w15:person>
  <w15:person w15:author="Jana Mandelc">
    <w15:presenceInfo w15:providerId="AD" w15:userId="S-1-5-21-3500578252-184092392-4263334949-1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1EC"/>
    <w:rsid w:val="00004FC6"/>
    <w:rsid w:val="00012981"/>
    <w:rsid w:val="00021CAB"/>
    <w:rsid w:val="00022179"/>
    <w:rsid w:val="00023826"/>
    <w:rsid w:val="0002612A"/>
    <w:rsid w:val="0002780F"/>
    <w:rsid w:val="00027A03"/>
    <w:rsid w:val="00027E2D"/>
    <w:rsid w:val="00031718"/>
    <w:rsid w:val="00041DD6"/>
    <w:rsid w:val="00043529"/>
    <w:rsid w:val="000444EA"/>
    <w:rsid w:val="00047069"/>
    <w:rsid w:val="00053A76"/>
    <w:rsid w:val="00055EFB"/>
    <w:rsid w:val="0006170F"/>
    <w:rsid w:val="00064D62"/>
    <w:rsid w:val="00071A9B"/>
    <w:rsid w:val="00072FD7"/>
    <w:rsid w:val="000734DF"/>
    <w:rsid w:val="00075B9A"/>
    <w:rsid w:val="00081EC4"/>
    <w:rsid w:val="0008229E"/>
    <w:rsid w:val="00082D7C"/>
    <w:rsid w:val="00083BD3"/>
    <w:rsid w:val="00087B58"/>
    <w:rsid w:val="00091B12"/>
    <w:rsid w:val="000A3BBE"/>
    <w:rsid w:val="000A54F8"/>
    <w:rsid w:val="000B2284"/>
    <w:rsid w:val="000B3C3E"/>
    <w:rsid w:val="000C215B"/>
    <w:rsid w:val="000C40AB"/>
    <w:rsid w:val="000C74D3"/>
    <w:rsid w:val="000C78BC"/>
    <w:rsid w:val="000D12F7"/>
    <w:rsid w:val="000D162C"/>
    <w:rsid w:val="000D2332"/>
    <w:rsid w:val="000D6F6B"/>
    <w:rsid w:val="000E1264"/>
    <w:rsid w:val="000E23B3"/>
    <w:rsid w:val="000E465C"/>
    <w:rsid w:val="000E7910"/>
    <w:rsid w:val="000F0BC6"/>
    <w:rsid w:val="000F0F45"/>
    <w:rsid w:val="000F4CAD"/>
    <w:rsid w:val="00102DA4"/>
    <w:rsid w:val="00105020"/>
    <w:rsid w:val="00124E3E"/>
    <w:rsid w:val="001263E3"/>
    <w:rsid w:val="001268FD"/>
    <w:rsid w:val="00132AD3"/>
    <w:rsid w:val="00144DB5"/>
    <w:rsid w:val="001527AF"/>
    <w:rsid w:val="001627C4"/>
    <w:rsid w:val="00167101"/>
    <w:rsid w:val="00167E1B"/>
    <w:rsid w:val="0017317C"/>
    <w:rsid w:val="00182AA1"/>
    <w:rsid w:val="0019099F"/>
    <w:rsid w:val="001910B5"/>
    <w:rsid w:val="001A1379"/>
    <w:rsid w:val="001B0C74"/>
    <w:rsid w:val="001C18A9"/>
    <w:rsid w:val="001C1FF6"/>
    <w:rsid w:val="001C54D3"/>
    <w:rsid w:val="001C5761"/>
    <w:rsid w:val="001D2485"/>
    <w:rsid w:val="001D4634"/>
    <w:rsid w:val="001D50E3"/>
    <w:rsid w:val="001E441E"/>
    <w:rsid w:val="001E46F2"/>
    <w:rsid w:val="001E51EC"/>
    <w:rsid w:val="001F2FC5"/>
    <w:rsid w:val="00202323"/>
    <w:rsid w:val="00202717"/>
    <w:rsid w:val="00203035"/>
    <w:rsid w:val="002031FE"/>
    <w:rsid w:val="002036AE"/>
    <w:rsid w:val="0020426F"/>
    <w:rsid w:val="00205AD1"/>
    <w:rsid w:val="00210087"/>
    <w:rsid w:val="00214307"/>
    <w:rsid w:val="00216684"/>
    <w:rsid w:val="00221446"/>
    <w:rsid w:val="00225922"/>
    <w:rsid w:val="002276EF"/>
    <w:rsid w:val="00227C34"/>
    <w:rsid w:val="00231A7B"/>
    <w:rsid w:val="002339A9"/>
    <w:rsid w:val="00235FBB"/>
    <w:rsid w:val="0024043C"/>
    <w:rsid w:val="002408CF"/>
    <w:rsid w:val="0024615C"/>
    <w:rsid w:val="00247EDC"/>
    <w:rsid w:val="00251904"/>
    <w:rsid w:val="002550A2"/>
    <w:rsid w:val="00256B1B"/>
    <w:rsid w:val="00262963"/>
    <w:rsid w:val="0028042F"/>
    <w:rsid w:val="00281517"/>
    <w:rsid w:val="0028559A"/>
    <w:rsid w:val="002971D4"/>
    <w:rsid w:val="002B67A2"/>
    <w:rsid w:val="002C3543"/>
    <w:rsid w:val="002C3D3E"/>
    <w:rsid w:val="002C6485"/>
    <w:rsid w:val="002D0655"/>
    <w:rsid w:val="002D5BE8"/>
    <w:rsid w:val="002D62F8"/>
    <w:rsid w:val="002E1729"/>
    <w:rsid w:val="002E6239"/>
    <w:rsid w:val="002F6B80"/>
    <w:rsid w:val="002F6E59"/>
    <w:rsid w:val="002F7F47"/>
    <w:rsid w:val="00304225"/>
    <w:rsid w:val="00304348"/>
    <w:rsid w:val="00313D8E"/>
    <w:rsid w:val="003158A7"/>
    <w:rsid w:val="00315E3F"/>
    <w:rsid w:val="003173FD"/>
    <w:rsid w:val="003233DC"/>
    <w:rsid w:val="0033164E"/>
    <w:rsid w:val="00331795"/>
    <w:rsid w:val="00333197"/>
    <w:rsid w:val="003334F7"/>
    <w:rsid w:val="00333D21"/>
    <w:rsid w:val="00333F39"/>
    <w:rsid w:val="00343CCA"/>
    <w:rsid w:val="00344223"/>
    <w:rsid w:val="00345763"/>
    <w:rsid w:val="00350953"/>
    <w:rsid w:val="00350A55"/>
    <w:rsid w:val="0035102F"/>
    <w:rsid w:val="0035223F"/>
    <w:rsid w:val="00353A62"/>
    <w:rsid w:val="0035410A"/>
    <w:rsid w:val="00354230"/>
    <w:rsid w:val="00356FF8"/>
    <w:rsid w:val="00360153"/>
    <w:rsid w:val="00365FF1"/>
    <w:rsid w:val="00366ECC"/>
    <w:rsid w:val="003754BE"/>
    <w:rsid w:val="003772EE"/>
    <w:rsid w:val="00383D48"/>
    <w:rsid w:val="003858F2"/>
    <w:rsid w:val="00395620"/>
    <w:rsid w:val="003B55B1"/>
    <w:rsid w:val="003B5B3D"/>
    <w:rsid w:val="003C1CF8"/>
    <w:rsid w:val="003C54FC"/>
    <w:rsid w:val="003D0D11"/>
    <w:rsid w:val="003D311E"/>
    <w:rsid w:val="003E0721"/>
    <w:rsid w:val="003F2188"/>
    <w:rsid w:val="003F2EC1"/>
    <w:rsid w:val="003F68A1"/>
    <w:rsid w:val="003F710C"/>
    <w:rsid w:val="00401F27"/>
    <w:rsid w:val="004104B8"/>
    <w:rsid w:val="004118A4"/>
    <w:rsid w:val="00412B8C"/>
    <w:rsid w:val="00413A83"/>
    <w:rsid w:val="00413E40"/>
    <w:rsid w:val="00417770"/>
    <w:rsid w:val="00424C81"/>
    <w:rsid w:val="004256BC"/>
    <w:rsid w:val="00427D7F"/>
    <w:rsid w:val="0043152B"/>
    <w:rsid w:val="004359DC"/>
    <w:rsid w:val="0044570D"/>
    <w:rsid w:val="00445F6A"/>
    <w:rsid w:val="00447B66"/>
    <w:rsid w:val="004501BE"/>
    <w:rsid w:val="004513C4"/>
    <w:rsid w:val="00455BB7"/>
    <w:rsid w:val="004570C6"/>
    <w:rsid w:val="00463719"/>
    <w:rsid w:val="00464D92"/>
    <w:rsid w:val="00465DED"/>
    <w:rsid w:val="00465FAB"/>
    <w:rsid w:val="00467C40"/>
    <w:rsid w:val="00467FA3"/>
    <w:rsid w:val="0048163D"/>
    <w:rsid w:val="00483735"/>
    <w:rsid w:val="004844AA"/>
    <w:rsid w:val="004848E8"/>
    <w:rsid w:val="0049619E"/>
    <w:rsid w:val="00497DB9"/>
    <w:rsid w:val="004A0ABA"/>
    <w:rsid w:val="004A71FB"/>
    <w:rsid w:val="004B1581"/>
    <w:rsid w:val="004B31F0"/>
    <w:rsid w:val="004B45ED"/>
    <w:rsid w:val="004B5931"/>
    <w:rsid w:val="004B61D5"/>
    <w:rsid w:val="004C1324"/>
    <w:rsid w:val="004C2861"/>
    <w:rsid w:val="004C3938"/>
    <w:rsid w:val="004C40E5"/>
    <w:rsid w:val="004C58F0"/>
    <w:rsid w:val="004C6915"/>
    <w:rsid w:val="004D3A4A"/>
    <w:rsid w:val="004E000A"/>
    <w:rsid w:val="004F66D8"/>
    <w:rsid w:val="00500E9C"/>
    <w:rsid w:val="00503C32"/>
    <w:rsid w:val="005052F2"/>
    <w:rsid w:val="00506456"/>
    <w:rsid w:val="00511730"/>
    <w:rsid w:val="0051363A"/>
    <w:rsid w:val="0051793F"/>
    <w:rsid w:val="005206BD"/>
    <w:rsid w:val="005215CD"/>
    <w:rsid w:val="005227EE"/>
    <w:rsid w:val="00524885"/>
    <w:rsid w:val="005334F2"/>
    <w:rsid w:val="0053503D"/>
    <w:rsid w:val="00536DD4"/>
    <w:rsid w:val="00537E3C"/>
    <w:rsid w:val="005528AA"/>
    <w:rsid w:val="00554EBE"/>
    <w:rsid w:val="005551A4"/>
    <w:rsid w:val="00564D04"/>
    <w:rsid w:val="005715A7"/>
    <w:rsid w:val="005765BC"/>
    <w:rsid w:val="005800A3"/>
    <w:rsid w:val="005823FA"/>
    <w:rsid w:val="0058286A"/>
    <w:rsid w:val="00583459"/>
    <w:rsid w:val="0059038D"/>
    <w:rsid w:val="005910A2"/>
    <w:rsid w:val="00592686"/>
    <w:rsid w:val="00596B54"/>
    <w:rsid w:val="00596E6E"/>
    <w:rsid w:val="00597757"/>
    <w:rsid w:val="005A12A8"/>
    <w:rsid w:val="005A5DFA"/>
    <w:rsid w:val="005A68C9"/>
    <w:rsid w:val="005C5991"/>
    <w:rsid w:val="005C70D0"/>
    <w:rsid w:val="005D3807"/>
    <w:rsid w:val="005E5643"/>
    <w:rsid w:val="005F5361"/>
    <w:rsid w:val="005F66B5"/>
    <w:rsid w:val="005F6860"/>
    <w:rsid w:val="006028FA"/>
    <w:rsid w:val="0060323F"/>
    <w:rsid w:val="00603835"/>
    <w:rsid w:val="006075DF"/>
    <w:rsid w:val="006216C8"/>
    <w:rsid w:val="00623DFB"/>
    <w:rsid w:val="006277F6"/>
    <w:rsid w:val="00634E04"/>
    <w:rsid w:val="00637361"/>
    <w:rsid w:val="006477F9"/>
    <w:rsid w:val="00654C0B"/>
    <w:rsid w:val="0065728F"/>
    <w:rsid w:val="00657B47"/>
    <w:rsid w:val="00661FD0"/>
    <w:rsid w:val="00662825"/>
    <w:rsid w:val="00665D4B"/>
    <w:rsid w:val="00667904"/>
    <w:rsid w:val="00667C7A"/>
    <w:rsid w:val="00670D61"/>
    <w:rsid w:val="006726CE"/>
    <w:rsid w:val="00672C53"/>
    <w:rsid w:val="006769A1"/>
    <w:rsid w:val="006812AE"/>
    <w:rsid w:val="00681F4A"/>
    <w:rsid w:val="00683652"/>
    <w:rsid w:val="0068483F"/>
    <w:rsid w:val="006854C0"/>
    <w:rsid w:val="00685FB5"/>
    <w:rsid w:val="006A0795"/>
    <w:rsid w:val="006A0799"/>
    <w:rsid w:val="006A2750"/>
    <w:rsid w:val="006A4845"/>
    <w:rsid w:val="006C1041"/>
    <w:rsid w:val="006C2CA5"/>
    <w:rsid w:val="006E1C5A"/>
    <w:rsid w:val="006E20E5"/>
    <w:rsid w:val="006E4363"/>
    <w:rsid w:val="006E49F3"/>
    <w:rsid w:val="006F0D7F"/>
    <w:rsid w:val="006F12BF"/>
    <w:rsid w:val="006F3407"/>
    <w:rsid w:val="006F42DF"/>
    <w:rsid w:val="006F6BB6"/>
    <w:rsid w:val="007025DE"/>
    <w:rsid w:val="00702B09"/>
    <w:rsid w:val="0071097C"/>
    <w:rsid w:val="00712746"/>
    <w:rsid w:val="00714B9B"/>
    <w:rsid w:val="0072196A"/>
    <w:rsid w:val="00722D1E"/>
    <w:rsid w:val="007232C4"/>
    <w:rsid w:val="00726C54"/>
    <w:rsid w:val="00730529"/>
    <w:rsid w:val="0073201B"/>
    <w:rsid w:val="00733296"/>
    <w:rsid w:val="00733CCD"/>
    <w:rsid w:val="00750DCB"/>
    <w:rsid w:val="00751C8E"/>
    <w:rsid w:val="00753F5B"/>
    <w:rsid w:val="00757837"/>
    <w:rsid w:val="00762214"/>
    <w:rsid w:val="00762308"/>
    <w:rsid w:val="0077481D"/>
    <w:rsid w:val="00783FC6"/>
    <w:rsid w:val="00795EEF"/>
    <w:rsid w:val="0079794E"/>
    <w:rsid w:val="007A5771"/>
    <w:rsid w:val="007B1FDB"/>
    <w:rsid w:val="007B5203"/>
    <w:rsid w:val="007B74E8"/>
    <w:rsid w:val="007C3F01"/>
    <w:rsid w:val="007D0410"/>
    <w:rsid w:val="007D3449"/>
    <w:rsid w:val="007D5B63"/>
    <w:rsid w:val="007E2098"/>
    <w:rsid w:val="007E3388"/>
    <w:rsid w:val="007E3445"/>
    <w:rsid w:val="007E3A34"/>
    <w:rsid w:val="007E5BD6"/>
    <w:rsid w:val="00823C50"/>
    <w:rsid w:val="00826898"/>
    <w:rsid w:val="008270BD"/>
    <w:rsid w:val="0082737B"/>
    <w:rsid w:val="00830790"/>
    <w:rsid w:val="00832AA4"/>
    <w:rsid w:val="00832D19"/>
    <w:rsid w:val="00834352"/>
    <w:rsid w:val="0084656D"/>
    <w:rsid w:val="00847531"/>
    <w:rsid w:val="008525BC"/>
    <w:rsid w:val="00854C21"/>
    <w:rsid w:val="00857CF4"/>
    <w:rsid w:val="00861962"/>
    <w:rsid w:val="00867E0E"/>
    <w:rsid w:val="00872AC8"/>
    <w:rsid w:val="008740B6"/>
    <w:rsid w:val="00874FAB"/>
    <w:rsid w:val="00882B75"/>
    <w:rsid w:val="008847FE"/>
    <w:rsid w:val="00890249"/>
    <w:rsid w:val="0089117D"/>
    <w:rsid w:val="0089442E"/>
    <w:rsid w:val="008956FB"/>
    <w:rsid w:val="008A1293"/>
    <w:rsid w:val="008A274F"/>
    <w:rsid w:val="008A3C55"/>
    <w:rsid w:val="008A57EB"/>
    <w:rsid w:val="008B17B4"/>
    <w:rsid w:val="008B7AA6"/>
    <w:rsid w:val="008C07A7"/>
    <w:rsid w:val="008C24A0"/>
    <w:rsid w:val="008C3973"/>
    <w:rsid w:val="008C492A"/>
    <w:rsid w:val="008D11D7"/>
    <w:rsid w:val="008D11F2"/>
    <w:rsid w:val="008D38B9"/>
    <w:rsid w:val="008D517B"/>
    <w:rsid w:val="008D6A7A"/>
    <w:rsid w:val="008D6A88"/>
    <w:rsid w:val="008E76DC"/>
    <w:rsid w:val="008F4769"/>
    <w:rsid w:val="008F6465"/>
    <w:rsid w:val="008F733A"/>
    <w:rsid w:val="008F7D52"/>
    <w:rsid w:val="009132A3"/>
    <w:rsid w:val="00914832"/>
    <w:rsid w:val="009148CC"/>
    <w:rsid w:val="009207F7"/>
    <w:rsid w:val="009242F5"/>
    <w:rsid w:val="00924D5F"/>
    <w:rsid w:val="00925555"/>
    <w:rsid w:val="0093482E"/>
    <w:rsid w:val="009435B1"/>
    <w:rsid w:val="00946233"/>
    <w:rsid w:val="009512D7"/>
    <w:rsid w:val="00961154"/>
    <w:rsid w:val="0096141D"/>
    <w:rsid w:val="00970D52"/>
    <w:rsid w:val="00973504"/>
    <w:rsid w:val="00974D29"/>
    <w:rsid w:val="0098709E"/>
    <w:rsid w:val="00991108"/>
    <w:rsid w:val="00991D93"/>
    <w:rsid w:val="009945C1"/>
    <w:rsid w:val="0099760F"/>
    <w:rsid w:val="009978F0"/>
    <w:rsid w:val="009A4D7E"/>
    <w:rsid w:val="009A63C0"/>
    <w:rsid w:val="009A75DF"/>
    <w:rsid w:val="009B38DA"/>
    <w:rsid w:val="009B4910"/>
    <w:rsid w:val="009B6024"/>
    <w:rsid w:val="009B6BA8"/>
    <w:rsid w:val="009C19FE"/>
    <w:rsid w:val="009C3265"/>
    <w:rsid w:val="009C6091"/>
    <w:rsid w:val="009C6829"/>
    <w:rsid w:val="009C74A2"/>
    <w:rsid w:val="009C7E23"/>
    <w:rsid w:val="009E15D0"/>
    <w:rsid w:val="009F1729"/>
    <w:rsid w:val="009F2682"/>
    <w:rsid w:val="009F6680"/>
    <w:rsid w:val="00A03664"/>
    <w:rsid w:val="00A03C3C"/>
    <w:rsid w:val="00A105AC"/>
    <w:rsid w:val="00A12BC0"/>
    <w:rsid w:val="00A13B6A"/>
    <w:rsid w:val="00A159FC"/>
    <w:rsid w:val="00A16A41"/>
    <w:rsid w:val="00A174EE"/>
    <w:rsid w:val="00A21CBF"/>
    <w:rsid w:val="00A2721A"/>
    <w:rsid w:val="00A279DF"/>
    <w:rsid w:val="00A3173B"/>
    <w:rsid w:val="00A32E21"/>
    <w:rsid w:val="00A362CB"/>
    <w:rsid w:val="00A36466"/>
    <w:rsid w:val="00A36BCD"/>
    <w:rsid w:val="00A36D89"/>
    <w:rsid w:val="00A403CA"/>
    <w:rsid w:val="00A406C5"/>
    <w:rsid w:val="00A40EBC"/>
    <w:rsid w:val="00A434B9"/>
    <w:rsid w:val="00A44130"/>
    <w:rsid w:val="00A44F47"/>
    <w:rsid w:val="00A54DB8"/>
    <w:rsid w:val="00A551BD"/>
    <w:rsid w:val="00A700C3"/>
    <w:rsid w:val="00A75BF8"/>
    <w:rsid w:val="00A8108F"/>
    <w:rsid w:val="00A90DF0"/>
    <w:rsid w:val="00A927DA"/>
    <w:rsid w:val="00A97091"/>
    <w:rsid w:val="00A9749E"/>
    <w:rsid w:val="00AA02F6"/>
    <w:rsid w:val="00AA1096"/>
    <w:rsid w:val="00AA352D"/>
    <w:rsid w:val="00AA4505"/>
    <w:rsid w:val="00AA7E80"/>
    <w:rsid w:val="00AC272F"/>
    <w:rsid w:val="00AC4CE0"/>
    <w:rsid w:val="00AC4EB3"/>
    <w:rsid w:val="00AC5EFE"/>
    <w:rsid w:val="00AC70E2"/>
    <w:rsid w:val="00AD0748"/>
    <w:rsid w:val="00AD1A97"/>
    <w:rsid w:val="00AD6814"/>
    <w:rsid w:val="00AD7101"/>
    <w:rsid w:val="00AE13D1"/>
    <w:rsid w:val="00AE4354"/>
    <w:rsid w:val="00AE532A"/>
    <w:rsid w:val="00AF033D"/>
    <w:rsid w:val="00AF4956"/>
    <w:rsid w:val="00B0259A"/>
    <w:rsid w:val="00B124FC"/>
    <w:rsid w:val="00B1504B"/>
    <w:rsid w:val="00B15FC9"/>
    <w:rsid w:val="00B16DA7"/>
    <w:rsid w:val="00B21AE9"/>
    <w:rsid w:val="00B22AD3"/>
    <w:rsid w:val="00B32D12"/>
    <w:rsid w:val="00B4178F"/>
    <w:rsid w:val="00B507AC"/>
    <w:rsid w:val="00B530F5"/>
    <w:rsid w:val="00B55EFE"/>
    <w:rsid w:val="00B605F8"/>
    <w:rsid w:val="00B62888"/>
    <w:rsid w:val="00B63090"/>
    <w:rsid w:val="00B71451"/>
    <w:rsid w:val="00B71D56"/>
    <w:rsid w:val="00B74B37"/>
    <w:rsid w:val="00B7702C"/>
    <w:rsid w:val="00B8145C"/>
    <w:rsid w:val="00B82F33"/>
    <w:rsid w:val="00B8527A"/>
    <w:rsid w:val="00B87F3D"/>
    <w:rsid w:val="00B936EB"/>
    <w:rsid w:val="00B9415F"/>
    <w:rsid w:val="00B9568E"/>
    <w:rsid w:val="00B977B1"/>
    <w:rsid w:val="00BA0C13"/>
    <w:rsid w:val="00BA1D68"/>
    <w:rsid w:val="00BA23E3"/>
    <w:rsid w:val="00BA7CD5"/>
    <w:rsid w:val="00BB0C3D"/>
    <w:rsid w:val="00BB0F79"/>
    <w:rsid w:val="00BB40DE"/>
    <w:rsid w:val="00BC2A24"/>
    <w:rsid w:val="00BC4148"/>
    <w:rsid w:val="00BC475A"/>
    <w:rsid w:val="00BC63B9"/>
    <w:rsid w:val="00BC7A33"/>
    <w:rsid w:val="00BD0484"/>
    <w:rsid w:val="00BD0D30"/>
    <w:rsid w:val="00BD52C5"/>
    <w:rsid w:val="00BD7677"/>
    <w:rsid w:val="00BE3658"/>
    <w:rsid w:val="00BE4B52"/>
    <w:rsid w:val="00BE595D"/>
    <w:rsid w:val="00BF2606"/>
    <w:rsid w:val="00BF391C"/>
    <w:rsid w:val="00BF79DD"/>
    <w:rsid w:val="00C00ADA"/>
    <w:rsid w:val="00C01774"/>
    <w:rsid w:val="00C10664"/>
    <w:rsid w:val="00C14410"/>
    <w:rsid w:val="00C248A2"/>
    <w:rsid w:val="00C3026E"/>
    <w:rsid w:val="00C3314D"/>
    <w:rsid w:val="00C349F9"/>
    <w:rsid w:val="00C37F5B"/>
    <w:rsid w:val="00C40DFC"/>
    <w:rsid w:val="00C4272E"/>
    <w:rsid w:val="00C444A6"/>
    <w:rsid w:val="00C463B4"/>
    <w:rsid w:val="00C47BDC"/>
    <w:rsid w:val="00C47E3D"/>
    <w:rsid w:val="00C52332"/>
    <w:rsid w:val="00C5384E"/>
    <w:rsid w:val="00C563A7"/>
    <w:rsid w:val="00C638DC"/>
    <w:rsid w:val="00C64090"/>
    <w:rsid w:val="00C658F1"/>
    <w:rsid w:val="00C66377"/>
    <w:rsid w:val="00C667CA"/>
    <w:rsid w:val="00C673A2"/>
    <w:rsid w:val="00C70F46"/>
    <w:rsid w:val="00C72BDB"/>
    <w:rsid w:val="00C771AB"/>
    <w:rsid w:val="00C818CC"/>
    <w:rsid w:val="00C9041A"/>
    <w:rsid w:val="00C90925"/>
    <w:rsid w:val="00C92471"/>
    <w:rsid w:val="00CA20C5"/>
    <w:rsid w:val="00CA25C6"/>
    <w:rsid w:val="00CB0B67"/>
    <w:rsid w:val="00CB50DD"/>
    <w:rsid w:val="00CB6D7D"/>
    <w:rsid w:val="00CB7941"/>
    <w:rsid w:val="00CC38A7"/>
    <w:rsid w:val="00CD046B"/>
    <w:rsid w:val="00CD096A"/>
    <w:rsid w:val="00CD4F55"/>
    <w:rsid w:val="00CD518B"/>
    <w:rsid w:val="00CE0A1E"/>
    <w:rsid w:val="00CE46CE"/>
    <w:rsid w:val="00CE569B"/>
    <w:rsid w:val="00CE73F0"/>
    <w:rsid w:val="00CE7591"/>
    <w:rsid w:val="00CF15BA"/>
    <w:rsid w:val="00CF183E"/>
    <w:rsid w:val="00CF189F"/>
    <w:rsid w:val="00D00868"/>
    <w:rsid w:val="00D172B9"/>
    <w:rsid w:val="00D21361"/>
    <w:rsid w:val="00D245B4"/>
    <w:rsid w:val="00D30885"/>
    <w:rsid w:val="00D47A2C"/>
    <w:rsid w:val="00D50418"/>
    <w:rsid w:val="00D507A0"/>
    <w:rsid w:val="00D508FE"/>
    <w:rsid w:val="00D55C59"/>
    <w:rsid w:val="00D63E78"/>
    <w:rsid w:val="00D670F7"/>
    <w:rsid w:val="00D70DC5"/>
    <w:rsid w:val="00D748DC"/>
    <w:rsid w:val="00D77B5B"/>
    <w:rsid w:val="00D80373"/>
    <w:rsid w:val="00D81070"/>
    <w:rsid w:val="00D8293F"/>
    <w:rsid w:val="00D82FE6"/>
    <w:rsid w:val="00D83FF3"/>
    <w:rsid w:val="00D948AF"/>
    <w:rsid w:val="00D97271"/>
    <w:rsid w:val="00DA6E4E"/>
    <w:rsid w:val="00DB0999"/>
    <w:rsid w:val="00DB1924"/>
    <w:rsid w:val="00DB2389"/>
    <w:rsid w:val="00DB498D"/>
    <w:rsid w:val="00DB5A82"/>
    <w:rsid w:val="00DB63EB"/>
    <w:rsid w:val="00DB7966"/>
    <w:rsid w:val="00DC423A"/>
    <w:rsid w:val="00DC4407"/>
    <w:rsid w:val="00DC56A2"/>
    <w:rsid w:val="00DD487F"/>
    <w:rsid w:val="00DD5F8A"/>
    <w:rsid w:val="00DD7DD0"/>
    <w:rsid w:val="00DE4F03"/>
    <w:rsid w:val="00DE7018"/>
    <w:rsid w:val="00E00826"/>
    <w:rsid w:val="00E016A1"/>
    <w:rsid w:val="00E01C2E"/>
    <w:rsid w:val="00E05DCF"/>
    <w:rsid w:val="00E11922"/>
    <w:rsid w:val="00E13EB5"/>
    <w:rsid w:val="00E1408E"/>
    <w:rsid w:val="00E140D3"/>
    <w:rsid w:val="00E26330"/>
    <w:rsid w:val="00E41CD9"/>
    <w:rsid w:val="00E432B3"/>
    <w:rsid w:val="00E43B66"/>
    <w:rsid w:val="00E44987"/>
    <w:rsid w:val="00E52CB2"/>
    <w:rsid w:val="00E55664"/>
    <w:rsid w:val="00E558D5"/>
    <w:rsid w:val="00E61DC3"/>
    <w:rsid w:val="00E65AA9"/>
    <w:rsid w:val="00E661B5"/>
    <w:rsid w:val="00E67539"/>
    <w:rsid w:val="00E71F82"/>
    <w:rsid w:val="00E8006B"/>
    <w:rsid w:val="00E81233"/>
    <w:rsid w:val="00E8743D"/>
    <w:rsid w:val="00E90D4C"/>
    <w:rsid w:val="00E9105C"/>
    <w:rsid w:val="00E973E6"/>
    <w:rsid w:val="00E97E51"/>
    <w:rsid w:val="00EA3B0D"/>
    <w:rsid w:val="00EB0F48"/>
    <w:rsid w:val="00EB2F45"/>
    <w:rsid w:val="00EB3FE0"/>
    <w:rsid w:val="00EC0578"/>
    <w:rsid w:val="00EC2AC6"/>
    <w:rsid w:val="00EC3AD0"/>
    <w:rsid w:val="00EC42F2"/>
    <w:rsid w:val="00EC6A7A"/>
    <w:rsid w:val="00ED29FF"/>
    <w:rsid w:val="00ED45C6"/>
    <w:rsid w:val="00ED6681"/>
    <w:rsid w:val="00EE145B"/>
    <w:rsid w:val="00EF284A"/>
    <w:rsid w:val="00EF4CB4"/>
    <w:rsid w:val="00F0432A"/>
    <w:rsid w:val="00F06477"/>
    <w:rsid w:val="00F067C0"/>
    <w:rsid w:val="00F079A7"/>
    <w:rsid w:val="00F13B64"/>
    <w:rsid w:val="00F2099B"/>
    <w:rsid w:val="00F2171F"/>
    <w:rsid w:val="00F25A51"/>
    <w:rsid w:val="00F260A6"/>
    <w:rsid w:val="00F26758"/>
    <w:rsid w:val="00F27F2E"/>
    <w:rsid w:val="00F341D6"/>
    <w:rsid w:val="00F34FBC"/>
    <w:rsid w:val="00F35420"/>
    <w:rsid w:val="00F35B9C"/>
    <w:rsid w:val="00F41AEB"/>
    <w:rsid w:val="00F45F68"/>
    <w:rsid w:val="00F47996"/>
    <w:rsid w:val="00F612AE"/>
    <w:rsid w:val="00F629DC"/>
    <w:rsid w:val="00F62D28"/>
    <w:rsid w:val="00F632A9"/>
    <w:rsid w:val="00F70CB3"/>
    <w:rsid w:val="00F710D8"/>
    <w:rsid w:val="00F716FE"/>
    <w:rsid w:val="00F73B48"/>
    <w:rsid w:val="00F772BC"/>
    <w:rsid w:val="00F812A6"/>
    <w:rsid w:val="00F819C4"/>
    <w:rsid w:val="00F81DDF"/>
    <w:rsid w:val="00F85775"/>
    <w:rsid w:val="00F90DF1"/>
    <w:rsid w:val="00F91ABF"/>
    <w:rsid w:val="00F946A5"/>
    <w:rsid w:val="00FA1239"/>
    <w:rsid w:val="00FA5041"/>
    <w:rsid w:val="00FB7414"/>
    <w:rsid w:val="00FC1A71"/>
    <w:rsid w:val="00FC46A6"/>
    <w:rsid w:val="00FC655E"/>
    <w:rsid w:val="00FD2C4A"/>
    <w:rsid w:val="00FD4041"/>
    <w:rsid w:val="00FD6AB2"/>
    <w:rsid w:val="00FE0606"/>
    <w:rsid w:val="00FE0CB6"/>
    <w:rsid w:val="00FF0DB9"/>
    <w:rsid w:val="00FF6A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E51EC"/>
    <w:pPr>
      <w:spacing w:after="0" w:line="240" w:lineRule="auto"/>
      <w:jc w:val="both"/>
    </w:pPr>
    <w:rPr>
      <w:rFonts w:ascii="Calibri" w:eastAsia="Calibri" w:hAnsi="Calibri" w:cs="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E51EC"/>
    <w:pPr>
      <w:ind w:left="720"/>
      <w:contextualSpacing/>
    </w:pPr>
  </w:style>
  <w:style w:type="character" w:styleId="Pripombasklic">
    <w:name w:val="annotation reference"/>
    <w:basedOn w:val="Privzetapisavaodstavka"/>
    <w:uiPriority w:val="99"/>
    <w:semiHidden/>
    <w:unhideWhenUsed/>
    <w:rsid w:val="0060323F"/>
    <w:rPr>
      <w:sz w:val="16"/>
      <w:szCs w:val="16"/>
    </w:rPr>
  </w:style>
  <w:style w:type="paragraph" w:styleId="Pripombabesedilo">
    <w:name w:val="annotation text"/>
    <w:basedOn w:val="Navaden"/>
    <w:link w:val="PripombabesediloZnak"/>
    <w:uiPriority w:val="99"/>
    <w:semiHidden/>
    <w:unhideWhenUsed/>
    <w:rsid w:val="0060323F"/>
    <w:rPr>
      <w:sz w:val="20"/>
      <w:szCs w:val="20"/>
    </w:rPr>
  </w:style>
  <w:style w:type="character" w:customStyle="1" w:styleId="PripombabesediloZnak">
    <w:name w:val="Pripomba – besedilo Znak"/>
    <w:basedOn w:val="Privzetapisavaodstavka"/>
    <w:link w:val="Pripombabesedilo"/>
    <w:uiPriority w:val="99"/>
    <w:semiHidden/>
    <w:rsid w:val="0060323F"/>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60323F"/>
    <w:rPr>
      <w:b/>
      <w:bCs/>
    </w:rPr>
  </w:style>
  <w:style w:type="character" w:customStyle="1" w:styleId="ZadevapripombeZnak">
    <w:name w:val="Zadeva pripombe Znak"/>
    <w:basedOn w:val="PripombabesediloZnak"/>
    <w:link w:val="Zadevapripombe"/>
    <w:uiPriority w:val="99"/>
    <w:semiHidden/>
    <w:rsid w:val="0060323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60323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0323F"/>
    <w:rPr>
      <w:rFonts w:ascii="Segoe UI" w:eastAsia="Calibri" w:hAnsi="Segoe UI" w:cs="Segoe UI"/>
      <w:sz w:val="18"/>
      <w:szCs w:val="18"/>
    </w:rPr>
  </w:style>
  <w:style w:type="paragraph" w:styleId="Glava">
    <w:name w:val="header"/>
    <w:basedOn w:val="Navaden"/>
    <w:link w:val="GlavaZnak"/>
    <w:uiPriority w:val="99"/>
    <w:unhideWhenUsed/>
    <w:rsid w:val="0060323F"/>
    <w:pPr>
      <w:tabs>
        <w:tab w:val="center" w:pos="4536"/>
        <w:tab w:val="right" w:pos="9072"/>
      </w:tabs>
    </w:pPr>
  </w:style>
  <w:style w:type="character" w:customStyle="1" w:styleId="GlavaZnak">
    <w:name w:val="Glava Znak"/>
    <w:basedOn w:val="Privzetapisavaodstavka"/>
    <w:link w:val="Glava"/>
    <w:uiPriority w:val="99"/>
    <w:rsid w:val="0060323F"/>
    <w:rPr>
      <w:rFonts w:ascii="Calibri" w:eastAsia="Calibri" w:hAnsi="Calibri" w:cs="Times New Roman"/>
      <w:sz w:val="24"/>
    </w:rPr>
  </w:style>
  <w:style w:type="paragraph" w:styleId="Noga">
    <w:name w:val="footer"/>
    <w:basedOn w:val="Navaden"/>
    <w:link w:val="NogaZnak"/>
    <w:uiPriority w:val="99"/>
    <w:unhideWhenUsed/>
    <w:rsid w:val="0060323F"/>
    <w:pPr>
      <w:tabs>
        <w:tab w:val="center" w:pos="4536"/>
        <w:tab w:val="right" w:pos="9072"/>
      </w:tabs>
    </w:pPr>
  </w:style>
  <w:style w:type="character" w:customStyle="1" w:styleId="NogaZnak">
    <w:name w:val="Noga Znak"/>
    <w:basedOn w:val="Privzetapisavaodstavka"/>
    <w:link w:val="Noga"/>
    <w:uiPriority w:val="99"/>
    <w:rsid w:val="0060323F"/>
    <w:rPr>
      <w:rFonts w:ascii="Calibri" w:eastAsia="Calibri" w:hAnsi="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E51EC"/>
    <w:pPr>
      <w:spacing w:after="0" w:line="240" w:lineRule="auto"/>
      <w:jc w:val="both"/>
    </w:pPr>
    <w:rPr>
      <w:rFonts w:ascii="Calibri" w:eastAsia="Calibri" w:hAnsi="Calibri" w:cs="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E51EC"/>
    <w:pPr>
      <w:ind w:left="720"/>
      <w:contextualSpacing/>
    </w:pPr>
  </w:style>
  <w:style w:type="character" w:styleId="Pripombasklic">
    <w:name w:val="annotation reference"/>
    <w:basedOn w:val="Privzetapisavaodstavka"/>
    <w:uiPriority w:val="99"/>
    <w:semiHidden/>
    <w:unhideWhenUsed/>
    <w:rsid w:val="0060323F"/>
    <w:rPr>
      <w:sz w:val="16"/>
      <w:szCs w:val="16"/>
    </w:rPr>
  </w:style>
  <w:style w:type="paragraph" w:styleId="Pripombabesedilo">
    <w:name w:val="annotation text"/>
    <w:basedOn w:val="Navaden"/>
    <w:link w:val="PripombabesediloZnak"/>
    <w:uiPriority w:val="99"/>
    <w:semiHidden/>
    <w:unhideWhenUsed/>
    <w:rsid w:val="0060323F"/>
    <w:rPr>
      <w:sz w:val="20"/>
      <w:szCs w:val="20"/>
    </w:rPr>
  </w:style>
  <w:style w:type="character" w:customStyle="1" w:styleId="PripombabesediloZnak">
    <w:name w:val="Pripomba – besedilo Znak"/>
    <w:basedOn w:val="Privzetapisavaodstavka"/>
    <w:link w:val="Pripombabesedilo"/>
    <w:uiPriority w:val="99"/>
    <w:semiHidden/>
    <w:rsid w:val="0060323F"/>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60323F"/>
    <w:rPr>
      <w:b/>
      <w:bCs/>
    </w:rPr>
  </w:style>
  <w:style w:type="character" w:customStyle="1" w:styleId="ZadevapripombeZnak">
    <w:name w:val="Zadeva pripombe Znak"/>
    <w:basedOn w:val="PripombabesediloZnak"/>
    <w:link w:val="Zadevapripombe"/>
    <w:uiPriority w:val="99"/>
    <w:semiHidden/>
    <w:rsid w:val="0060323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60323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0323F"/>
    <w:rPr>
      <w:rFonts w:ascii="Segoe UI" w:eastAsia="Calibri" w:hAnsi="Segoe UI" w:cs="Segoe UI"/>
      <w:sz w:val="18"/>
      <w:szCs w:val="18"/>
    </w:rPr>
  </w:style>
  <w:style w:type="paragraph" w:styleId="Glava">
    <w:name w:val="header"/>
    <w:basedOn w:val="Navaden"/>
    <w:link w:val="GlavaZnak"/>
    <w:uiPriority w:val="99"/>
    <w:unhideWhenUsed/>
    <w:rsid w:val="0060323F"/>
    <w:pPr>
      <w:tabs>
        <w:tab w:val="center" w:pos="4536"/>
        <w:tab w:val="right" w:pos="9072"/>
      </w:tabs>
    </w:pPr>
  </w:style>
  <w:style w:type="character" w:customStyle="1" w:styleId="GlavaZnak">
    <w:name w:val="Glava Znak"/>
    <w:basedOn w:val="Privzetapisavaodstavka"/>
    <w:link w:val="Glava"/>
    <w:uiPriority w:val="99"/>
    <w:rsid w:val="0060323F"/>
    <w:rPr>
      <w:rFonts w:ascii="Calibri" w:eastAsia="Calibri" w:hAnsi="Calibri" w:cs="Times New Roman"/>
      <w:sz w:val="24"/>
    </w:rPr>
  </w:style>
  <w:style w:type="paragraph" w:styleId="Noga">
    <w:name w:val="footer"/>
    <w:basedOn w:val="Navaden"/>
    <w:link w:val="NogaZnak"/>
    <w:uiPriority w:val="99"/>
    <w:unhideWhenUsed/>
    <w:rsid w:val="0060323F"/>
    <w:pPr>
      <w:tabs>
        <w:tab w:val="center" w:pos="4536"/>
        <w:tab w:val="right" w:pos="9072"/>
      </w:tabs>
    </w:pPr>
  </w:style>
  <w:style w:type="character" w:customStyle="1" w:styleId="NogaZnak">
    <w:name w:val="Noga Znak"/>
    <w:basedOn w:val="Privzetapisavaodstavka"/>
    <w:link w:val="Noga"/>
    <w:uiPriority w:val="99"/>
    <w:rsid w:val="0060323F"/>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1147</Words>
  <Characters>6538</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Mandelc</dc:creator>
  <cp:lastModifiedBy>Helena Krašovec</cp:lastModifiedBy>
  <cp:revision>3</cp:revision>
  <dcterms:created xsi:type="dcterms:W3CDTF">2016-03-10T11:57:00Z</dcterms:created>
  <dcterms:modified xsi:type="dcterms:W3CDTF">2016-03-10T12:00:00Z</dcterms:modified>
</cp:coreProperties>
</file>