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056B" w:rsidRPr="00C14627" w:rsidRDefault="00DE056B" w:rsidP="00C14627">
      <w:pPr>
        <w:spacing w:after="0" w:line="240" w:lineRule="auto"/>
        <w:jc w:val="center"/>
        <w:rPr>
          <w:rFonts w:asciiTheme="majorHAnsi" w:eastAsia="Times New Roman" w:hAnsiTheme="majorHAnsi" w:cstheme="majorHAnsi"/>
          <w:b/>
          <w:lang w:eastAsia="sl-SI"/>
        </w:rPr>
      </w:pPr>
      <w:r w:rsidRPr="00C14627">
        <w:rPr>
          <w:rFonts w:asciiTheme="majorHAnsi" w:eastAsia="Times New Roman" w:hAnsiTheme="majorHAnsi" w:cstheme="majorHAnsi"/>
          <w:b/>
          <w:lang w:eastAsia="sl-SI"/>
        </w:rPr>
        <w:t>Sklic skupščine</w:t>
      </w:r>
    </w:p>
    <w:p w:rsidR="00DE056B" w:rsidRPr="00C14627" w:rsidRDefault="00DE056B" w:rsidP="00DE056B">
      <w:pPr>
        <w:spacing w:after="0" w:line="240" w:lineRule="auto"/>
        <w:jc w:val="both"/>
        <w:rPr>
          <w:rFonts w:asciiTheme="majorHAnsi" w:eastAsia="Times New Roman" w:hAnsiTheme="majorHAnsi" w:cstheme="majorHAnsi"/>
          <w:b/>
          <w:lang w:eastAsia="sl-SI"/>
        </w:rPr>
      </w:pPr>
    </w:p>
    <w:p w:rsidR="00106D5F" w:rsidRPr="00C14627" w:rsidRDefault="00106D5F" w:rsidP="00DE056B">
      <w:pPr>
        <w:spacing w:after="0" w:line="240" w:lineRule="auto"/>
        <w:jc w:val="both"/>
        <w:rPr>
          <w:rFonts w:asciiTheme="majorHAnsi" w:eastAsia="Times New Roman" w:hAnsiTheme="majorHAnsi" w:cstheme="majorHAnsi"/>
          <w:b/>
          <w:lang w:eastAsia="sl-SI"/>
        </w:rPr>
      </w:pPr>
      <w:r w:rsidRPr="00C14627">
        <w:rPr>
          <w:rFonts w:asciiTheme="majorHAnsi" w:eastAsia="Times New Roman" w:hAnsiTheme="majorHAnsi" w:cstheme="majorHAnsi"/>
          <w:b/>
          <w:lang w:eastAsia="sl-SI"/>
        </w:rPr>
        <w:t xml:space="preserve">Na podlagi 31. člena Statuta družbe pooblaščenke </w:t>
      </w:r>
      <w:r w:rsidR="00DE056B" w:rsidRPr="00C14627">
        <w:rPr>
          <w:rFonts w:asciiTheme="majorHAnsi" w:eastAsia="Times New Roman" w:hAnsiTheme="majorHAnsi" w:cstheme="majorHAnsi"/>
          <w:b/>
          <w:lang w:eastAsia="sl-SI"/>
        </w:rPr>
        <w:t>Impol</w:t>
      </w:r>
      <w:r w:rsidRPr="00C14627">
        <w:rPr>
          <w:rFonts w:asciiTheme="majorHAnsi" w:eastAsia="Times New Roman" w:hAnsiTheme="majorHAnsi" w:cstheme="majorHAnsi"/>
          <w:b/>
          <w:lang w:eastAsia="sl-SI"/>
        </w:rPr>
        <w:t xml:space="preserve"> 2000</w:t>
      </w:r>
      <w:r w:rsidR="00DE056B" w:rsidRPr="00C14627">
        <w:rPr>
          <w:rFonts w:asciiTheme="majorHAnsi" w:eastAsia="Times New Roman" w:hAnsiTheme="majorHAnsi" w:cstheme="majorHAnsi"/>
          <w:b/>
          <w:lang w:eastAsia="sl-SI"/>
        </w:rPr>
        <w:t>,</w:t>
      </w:r>
      <w:r w:rsidRPr="00C14627">
        <w:rPr>
          <w:rFonts w:asciiTheme="majorHAnsi" w:eastAsia="Times New Roman" w:hAnsiTheme="majorHAnsi" w:cstheme="majorHAnsi"/>
          <w:b/>
          <w:lang w:eastAsia="sl-SI"/>
        </w:rPr>
        <w:t xml:space="preserve"> d. d.</w:t>
      </w:r>
      <w:r w:rsidR="00DE056B" w:rsidRPr="00C14627">
        <w:rPr>
          <w:rFonts w:asciiTheme="majorHAnsi" w:eastAsia="Times New Roman" w:hAnsiTheme="majorHAnsi" w:cstheme="majorHAnsi"/>
          <w:b/>
          <w:lang w:eastAsia="sl-SI"/>
        </w:rPr>
        <w:t>,</w:t>
      </w:r>
      <w:r w:rsidRPr="00C14627">
        <w:rPr>
          <w:rFonts w:asciiTheme="majorHAnsi" w:eastAsia="Times New Roman" w:hAnsiTheme="majorHAnsi" w:cstheme="majorHAnsi"/>
          <w:b/>
          <w:lang w:eastAsia="sl-SI"/>
        </w:rPr>
        <w:t xml:space="preserve"> in na podlagi svojega sklepa z dne 12.</w:t>
      </w:r>
      <w:r w:rsidR="00DE056B" w:rsidRPr="00C14627">
        <w:rPr>
          <w:rFonts w:asciiTheme="majorHAnsi" w:eastAsia="Times New Roman" w:hAnsiTheme="majorHAnsi" w:cstheme="majorHAnsi"/>
          <w:b/>
          <w:lang w:eastAsia="sl-SI"/>
        </w:rPr>
        <w:t xml:space="preserve"> </w:t>
      </w:r>
      <w:r w:rsidRPr="00C14627">
        <w:rPr>
          <w:rFonts w:asciiTheme="majorHAnsi" w:eastAsia="Times New Roman" w:hAnsiTheme="majorHAnsi" w:cstheme="majorHAnsi"/>
          <w:b/>
          <w:lang w:eastAsia="sl-SI"/>
        </w:rPr>
        <w:t>6.</w:t>
      </w:r>
      <w:r w:rsidR="00DE056B" w:rsidRPr="00C14627">
        <w:rPr>
          <w:rFonts w:asciiTheme="majorHAnsi" w:eastAsia="Times New Roman" w:hAnsiTheme="majorHAnsi" w:cstheme="majorHAnsi"/>
          <w:b/>
          <w:lang w:eastAsia="sl-SI"/>
        </w:rPr>
        <w:t xml:space="preserve"> </w:t>
      </w:r>
      <w:r w:rsidRPr="00C14627">
        <w:rPr>
          <w:rFonts w:asciiTheme="majorHAnsi" w:eastAsia="Times New Roman" w:hAnsiTheme="majorHAnsi" w:cstheme="majorHAnsi"/>
          <w:b/>
          <w:lang w:eastAsia="sl-SI"/>
        </w:rPr>
        <w:t>2019 upravni odbor družbe Impol 2000, d. d., sklicuje skupščino delničarjev družbe Impol 2000 d.</w:t>
      </w:r>
      <w:r w:rsidR="00DE056B" w:rsidRPr="00C14627">
        <w:rPr>
          <w:rFonts w:asciiTheme="majorHAnsi" w:eastAsia="Times New Roman" w:hAnsiTheme="majorHAnsi" w:cstheme="majorHAnsi"/>
          <w:b/>
          <w:lang w:eastAsia="sl-SI"/>
        </w:rPr>
        <w:t xml:space="preserve"> </w:t>
      </w:r>
      <w:r w:rsidRPr="00C14627">
        <w:rPr>
          <w:rFonts w:asciiTheme="majorHAnsi" w:eastAsia="Times New Roman" w:hAnsiTheme="majorHAnsi" w:cstheme="majorHAnsi"/>
          <w:b/>
          <w:lang w:eastAsia="sl-SI"/>
        </w:rPr>
        <w:t>d., ki bo v petek, 19. julija 2019, ob 13</w:t>
      </w:r>
      <w:r w:rsidRPr="00C14627">
        <w:rPr>
          <w:rFonts w:asciiTheme="majorHAnsi" w:eastAsia="Times New Roman" w:hAnsiTheme="majorHAnsi" w:cstheme="majorHAnsi"/>
          <w:b/>
          <w:u w:val="single"/>
          <w:vertAlign w:val="superscript"/>
          <w:lang w:eastAsia="sl-SI"/>
        </w:rPr>
        <w:t>00</w:t>
      </w:r>
      <w:r w:rsidRPr="00C14627">
        <w:rPr>
          <w:rFonts w:asciiTheme="majorHAnsi" w:eastAsia="Times New Roman" w:hAnsiTheme="majorHAnsi" w:cstheme="majorHAnsi"/>
          <w:b/>
          <w:lang w:eastAsia="sl-SI"/>
        </w:rPr>
        <w:t xml:space="preserve"> uri v sejni sobi družbe na sedežu družbe na Partizanski cesti 38, Slovenska Bistrica</w:t>
      </w:r>
      <w:bookmarkStart w:id="0" w:name="_GoBack"/>
      <w:bookmarkEnd w:id="0"/>
      <w:r w:rsidRPr="00C14627">
        <w:rPr>
          <w:rFonts w:asciiTheme="majorHAnsi" w:eastAsia="Times New Roman" w:hAnsiTheme="majorHAnsi" w:cstheme="majorHAnsi"/>
          <w:b/>
          <w:lang w:eastAsia="sl-SI"/>
        </w:rPr>
        <w:t xml:space="preserve"> ob prisotnosti notarke gospe Jožice Škrk.</w:t>
      </w:r>
    </w:p>
    <w:p w:rsidR="00106D5F" w:rsidRPr="00C14627" w:rsidRDefault="00106D5F" w:rsidP="00106D5F">
      <w:pPr>
        <w:spacing w:after="0" w:line="240" w:lineRule="auto"/>
        <w:jc w:val="both"/>
        <w:rPr>
          <w:rFonts w:asciiTheme="majorHAnsi" w:eastAsia="Times New Roman" w:hAnsiTheme="majorHAnsi" w:cstheme="majorHAnsi"/>
          <w:lang w:eastAsia="sl-SI"/>
        </w:rPr>
      </w:pPr>
    </w:p>
    <w:p w:rsidR="00106D5F" w:rsidRPr="00C14627" w:rsidRDefault="00106D5F" w:rsidP="00106D5F">
      <w:pPr>
        <w:spacing w:after="0" w:line="240" w:lineRule="auto"/>
        <w:jc w:val="both"/>
        <w:rPr>
          <w:rFonts w:asciiTheme="majorHAnsi" w:eastAsia="Times New Roman" w:hAnsiTheme="majorHAnsi" w:cstheme="majorHAnsi"/>
          <w:u w:val="single"/>
          <w:lang w:eastAsia="sl-SI"/>
        </w:rPr>
      </w:pPr>
      <w:r w:rsidRPr="00C14627">
        <w:rPr>
          <w:rFonts w:asciiTheme="majorHAnsi" w:eastAsia="Times New Roman" w:hAnsiTheme="majorHAnsi" w:cstheme="majorHAnsi"/>
          <w:u w:val="single"/>
          <w:lang w:eastAsia="sl-SI"/>
        </w:rPr>
        <w:t>Skupščina se sklicuje z naslednjim dnevnim redom:</w:t>
      </w:r>
    </w:p>
    <w:p w:rsidR="00106D5F" w:rsidRPr="00C14627" w:rsidRDefault="00106D5F" w:rsidP="00106D5F">
      <w:pPr>
        <w:spacing w:after="0" w:line="240" w:lineRule="auto"/>
        <w:jc w:val="both"/>
        <w:rPr>
          <w:rFonts w:asciiTheme="majorHAnsi" w:eastAsia="Times New Roman" w:hAnsiTheme="majorHAnsi" w:cstheme="majorHAnsi"/>
          <w:u w:val="single"/>
          <w:lang w:eastAsia="sl-SI"/>
        </w:rPr>
      </w:pPr>
    </w:p>
    <w:p w:rsidR="00106D5F" w:rsidRPr="00C14627" w:rsidRDefault="00106D5F" w:rsidP="00106D5F">
      <w:pPr>
        <w:numPr>
          <w:ilvl w:val="0"/>
          <w:numId w:val="1"/>
        </w:numPr>
        <w:spacing w:after="0" w:line="240" w:lineRule="auto"/>
        <w:jc w:val="both"/>
        <w:rPr>
          <w:rFonts w:asciiTheme="majorHAnsi" w:eastAsia="Times New Roman" w:hAnsiTheme="majorHAnsi" w:cstheme="majorHAnsi"/>
          <w:u w:val="single"/>
          <w:lang w:eastAsia="sl-SI"/>
        </w:rPr>
      </w:pPr>
      <w:r w:rsidRPr="00C14627">
        <w:rPr>
          <w:rFonts w:asciiTheme="majorHAnsi" w:eastAsia="Times New Roman" w:hAnsiTheme="majorHAnsi" w:cstheme="majorHAnsi"/>
          <w:u w:val="single"/>
          <w:lang w:eastAsia="sl-SI"/>
        </w:rPr>
        <w:t>Otvoritev  skupščine in izvolitev organov skupščine</w:t>
      </w:r>
    </w:p>
    <w:p w:rsidR="00106D5F" w:rsidRPr="00C14627" w:rsidRDefault="00106D5F" w:rsidP="00106D5F">
      <w:pPr>
        <w:spacing w:after="0" w:line="240" w:lineRule="auto"/>
        <w:ind w:left="360"/>
        <w:jc w:val="both"/>
        <w:rPr>
          <w:rFonts w:asciiTheme="majorHAnsi" w:eastAsia="Times New Roman" w:hAnsiTheme="majorHAnsi" w:cstheme="majorHAnsi"/>
          <w:lang w:eastAsia="sl-SI"/>
        </w:rPr>
      </w:pPr>
      <w:r w:rsidRPr="00C14627">
        <w:rPr>
          <w:rFonts w:asciiTheme="majorHAnsi" w:eastAsia="Times New Roman" w:hAnsiTheme="majorHAnsi" w:cstheme="majorHAnsi"/>
          <w:lang w:eastAsia="sl-SI"/>
        </w:rPr>
        <w:t xml:space="preserve">Predsednik upravnega odbora družbe bo v imenu sklicatelja skupščine začel sejo skupščine, podal ugotovitve o udeležbi delničarjev </w:t>
      </w:r>
      <w:r w:rsidR="00DE056B" w:rsidRPr="00C14627">
        <w:rPr>
          <w:rFonts w:asciiTheme="majorHAnsi" w:eastAsia="Times New Roman" w:hAnsiTheme="majorHAnsi" w:cstheme="majorHAnsi"/>
          <w:lang w:eastAsia="sl-SI"/>
        </w:rPr>
        <w:t>in</w:t>
      </w:r>
      <w:r w:rsidRPr="00C14627">
        <w:rPr>
          <w:rFonts w:asciiTheme="majorHAnsi" w:eastAsia="Times New Roman" w:hAnsiTheme="majorHAnsi" w:cstheme="majorHAnsi"/>
          <w:lang w:eastAsia="sl-SI"/>
        </w:rPr>
        <w:t xml:space="preserve"> delničarje seznanil, da bo v skladu s 36. členom Statuta vodil skupščino. Skupščini bo prisostvovala notarka ga. Jožica Škrk.  </w:t>
      </w:r>
    </w:p>
    <w:p w:rsidR="00106D5F" w:rsidRPr="00C14627" w:rsidRDefault="00106D5F" w:rsidP="00106D5F">
      <w:pPr>
        <w:spacing w:after="0" w:line="240" w:lineRule="auto"/>
        <w:ind w:left="360"/>
        <w:jc w:val="both"/>
        <w:rPr>
          <w:rFonts w:asciiTheme="majorHAnsi" w:eastAsia="Times New Roman" w:hAnsiTheme="majorHAnsi" w:cstheme="majorHAnsi"/>
          <w:lang w:eastAsia="sl-SI"/>
        </w:rPr>
      </w:pPr>
    </w:p>
    <w:p w:rsidR="00106D5F" w:rsidRPr="00C14627" w:rsidRDefault="00106D5F" w:rsidP="00106D5F">
      <w:pPr>
        <w:spacing w:after="0" w:line="240" w:lineRule="auto"/>
        <w:ind w:left="360"/>
        <w:jc w:val="both"/>
        <w:rPr>
          <w:rFonts w:asciiTheme="majorHAnsi" w:eastAsia="Times New Roman" w:hAnsiTheme="majorHAnsi" w:cstheme="majorHAnsi"/>
          <w:lang w:eastAsia="sl-SI"/>
        </w:rPr>
      </w:pPr>
      <w:r w:rsidRPr="00C14627">
        <w:rPr>
          <w:rFonts w:asciiTheme="majorHAnsi" w:eastAsia="Times New Roman" w:hAnsiTheme="majorHAnsi" w:cstheme="majorHAnsi"/>
          <w:lang w:eastAsia="sl-SI"/>
        </w:rPr>
        <w:t>Predlog sklepa št. 1</w:t>
      </w:r>
    </w:p>
    <w:p w:rsidR="00106D5F" w:rsidRPr="00C14627" w:rsidRDefault="00106D5F" w:rsidP="00106D5F">
      <w:pPr>
        <w:spacing w:after="0" w:line="240" w:lineRule="auto"/>
        <w:ind w:left="360"/>
        <w:jc w:val="both"/>
        <w:rPr>
          <w:rFonts w:asciiTheme="majorHAnsi" w:eastAsia="Times New Roman" w:hAnsiTheme="majorHAnsi" w:cstheme="majorHAnsi"/>
          <w:lang w:eastAsia="sl-SI"/>
        </w:rPr>
      </w:pPr>
      <w:r w:rsidRPr="00C14627">
        <w:rPr>
          <w:rFonts w:asciiTheme="majorHAnsi" w:eastAsia="Times New Roman" w:hAnsiTheme="majorHAnsi" w:cstheme="majorHAnsi"/>
          <w:lang w:eastAsia="sl-SI"/>
        </w:rPr>
        <w:t>Skupščina izvoli dva preštevalca glasov.</w:t>
      </w:r>
    </w:p>
    <w:p w:rsidR="00106D5F" w:rsidRPr="00C14627" w:rsidRDefault="00106D5F" w:rsidP="00106D5F">
      <w:pPr>
        <w:spacing w:after="0" w:line="240" w:lineRule="auto"/>
        <w:ind w:left="360"/>
        <w:jc w:val="both"/>
        <w:rPr>
          <w:rFonts w:asciiTheme="majorHAnsi" w:eastAsia="Times New Roman" w:hAnsiTheme="majorHAnsi" w:cstheme="majorHAnsi"/>
          <w:lang w:eastAsia="sl-SI"/>
        </w:rPr>
      </w:pPr>
    </w:p>
    <w:p w:rsidR="00106D5F" w:rsidRPr="00C14627" w:rsidRDefault="00106D5F" w:rsidP="00106D5F">
      <w:pPr>
        <w:numPr>
          <w:ilvl w:val="0"/>
          <w:numId w:val="1"/>
        </w:numPr>
        <w:spacing w:after="0" w:line="240" w:lineRule="auto"/>
        <w:jc w:val="both"/>
        <w:rPr>
          <w:rFonts w:asciiTheme="majorHAnsi" w:eastAsia="Times New Roman" w:hAnsiTheme="majorHAnsi" w:cstheme="majorHAnsi"/>
          <w:u w:val="single"/>
          <w:lang w:eastAsia="sl-SI"/>
        </w:rPr>
      </w:pPr>
      <w:r w:rsidRPr="00C14627">
        <w:rPr>
          <w:rFonts w:asciiTheme="majorHAnsi" w:eastAsia="Times New Roman" w:hAnsiTheme="majorHAnsi" w:cstheme="majorHAnsi"/>
          <w:u w:val="single"/>
          <w:lang w:eastAsia="sl-SI"/>
        </w:rPr>
        <w:t>Seznanitev s sprejemom Letnega poročila družbe in konsolidiranim Letnim poročilom skupine Impol za leto 2018</w:t>
      </w:r>
    </w:p>
    <w:p w:rsidR="00106D5F" w:rsidRPr="00C14627" w:rsidRDefault="00106D5F" w:rsidP="00106D5F">
      <w:pPr>
        <w:spacing w:after="0" w:line="240" w:lineRule="auto"/>
        <w:ind w:left="360"/>
        <w:jc w:val="both"/>
        <w:rPr>
          <w:rFonts w:asciiTheme="majorHAnsi" w:eastAsia="Times New Roman" w:hAnsiTheme="majorHAnsi" w:cstheme="majorHAnsi"/>
          <w:lang w:eastAsia="sl-SI"/>
        </w:rPr>
      </w:pPr>
      <w:r w:rsidRPr="00C14627">
        <w:rPr>
          <w:rFonts w:asciiTheme="majorHAnsi" w:eastAsia="Times New Roman" w:hAnsiTheme="majorHAnsi" w:cstheme="majorHAnsi"/>
          <w:lang w:eastAsia="sl-SI"/>
        </w:rPr>
        <w:t>Skupščina se seznani z Letnim poročilom družbe Impol 2000</w:t>
      </w:r>
      <w:r w:rsidR="00DE056B" w:rsidRPr="00C14627">
        <w:rPr>
          <w:rFonts w:asciiTheme="majorHAnsi" w:eastAsia="Times New Roman" w:hAnsiTheme="majorHAnsi" w:cstheme="majorHAnsi"/>
          <w:lang w:eastAsia="sl-SI"/>
        </w:rPr>
        <w:t>,</w:t>
      </w:r>
      <w:r w:rsidRPr="00C14627">
        <w:rPr>
          <w:rFonts w:asciiTheme="majorHAnsi" w:eastAsia="Times New Roman" w:hAnsiTheme="majorHAnsi" w:cstheme="majorHAnsi"/>
          <w:lang w:eastAsia="sl-SI"/>
        </w:rPr>
        <w:t xml:space="preserve"> d.</w:t>
      </w:r>
      <w:r w:rsidR="00DE056B" w:rsidRPr="00C14627">
        <w:rPr>
          <w:rFonts w:asciiTheme="majorHAnsi" w:eastAsia="Times New Roman" w:hAnsiTheme="majorHAnsi" w:cstheme="majorHAnsi"/>
          <w:lang w:eastAsia="sl-SI"/>
        </w:rPr>
        <w:t xml:space="preserve"> </w:t>
      </w:r>
      <w:r w:rsidRPr="00C14627">
        <w:rPr>
          <w:rFonts w:asciiTheme="majorHAnsi" w:eastAsia="Times New Roman" w:hAnsiTheme="majorHAnsi" w:cstheme="majorHAnsi"/>
          <w:lang w:eastAsia="sl-SI"/>
        </w:rPr>
        <w:t>d.</w:t>
      </w:r>
      <w:r w:rsidR="00DE056B" w:rsidRPr="00C14627">
        <w:rPr>
          <w:rFonts w:asciiTheme="majorHAnsi" w:eastAsia="Times New Roman" w:hAnsiTheme="majorHAnsi" w:cstheme="majorHAnsi"/>
          <w:lang w:eastAsia="sl-SI"/>
        </w:rPr>
        <w:t>,</w:t>
      </w:r>
      <w:r w:rsidRPr="00C14627">
        <w:rPr>
          <w:rFonts w:asciiTheme="majorHAnsi" w:eastAsia="Times New Roman" w:hAnsiTheme="majorHAnsi" w:cstheme="majorHAnsi"/>
          <w:lang w:eastAsia="sl-SI"/>
        </w:rPr>
        <w:t xml:space="preserve"> in konsolidiranim Letnim poročilom skupine Impol skupaj s poročilom neodvisnega revizorja ter s poročilom upravnega odbora o sprejemu Letnega poročila družbe Impol 2000</w:t>
      </w:r>
      <w:r w:rsidR="00DE056B" w:rsidRPr="00C14627">
        <w:rPr>
          <w:rFonts w:asciiTheme="majorHAnsi" w:eastAsia="Times New Roman" w:hAnsiTheme="majorHAnsi" w:cstheme="majorHAnsi"/>
          <w:lang w:eastAsia="sl-SI"/>
        </w:rPr>
        <w:t>,</w:t>
      </w:r>
      <w:r w:rsidRPr="00C14627">
        <w:rPr>
          <w:rFonts w:asciiTheme="majorHAnsi" w:eastAsia="Times New Roman" w:hAnsiTheme="majorHAnsi" w:cstheme="majorHAnsi"/>
          <w:lang w:eastAsia="sl-SI"/>
        </w:rPr>
        <w:t xml:space="preserve"> d.</w:t>
      </w:r>
      <w:r w:rsidR="00DE056B" w:rsidRPr="00C14627">
        <w:rPr>
          <w:rFonts w:asciiTheme="majorHAnsi" w:eastAsia="Times New Roman" w:hAnsiTheme="majorHAnsi" w:cstheme="majorHAnsi"/>
          <w:lang w:eastAsia="sl-SI"/>
        </w:rPr>
        <w:t xml:space="preserve"> </w:t>
      </w:r>
      <w:r w:rsidRPr="00C14627">
        <w:rPr>
          <w:rFonts w:asciiTheme="majorHAnsi" w:eastAsia="Times New Roman" w:hAnsiTheme="majorHAnsi" w:cstheme="majorHAnsi"/>
          <w:lang w:eastAsia="sl-SI"/>
        </w:rPr>
        <w:t>d.</w:t>
      </w:r>
      <w:r w:rsidR="00DE056B" w:rsidRPr="00C14627">
        <w:rPr>
          <w:rFonts w:asciiTheme="majorHAnsi" w:eastAsia="Times New Roman" w:hAnsiTheme="majorHAnsi" w:cstheme="majorHAnsi"/>
          <w:lang w:eastAsia="sl-SI"/>
        </w:rPr>
        <w:t>,</w:t>
      </w:r>
      <w:r w:rsidRPr="00C14627">
        <w:rPr>
          <w:rFonts w:asciiTheme="majorHAnsi" w:eastAsia="Times New Roman" w:hAnsiTheme="majorHAnsi" w:cstheme="majorHAnsi"/>
          <w:lang w:eastAsia="sl-SI"/>
        </w:rPr>
        <w:t xml:space="preserve"> in konsolidiranega Letnega poročila skupine Impol za leto 2018. Skupščina se seznani s poročilom o prejemkih organov vodenja in nadzora, vključenim v Letno poročilo </w:t>
      </w:r>
      <w:r w:rsidR="00DE056B" w:rsidRPr="00C14627">
        <w:rPr>
          <w:rFonts w:asciiTheme="majorHAnsi" w:eastAsia="Times New Roman" w:hAnsiTheme="majorHAnsi" w:cstheme="majorHAnsi"/>
          <w:lang w:eastAsia="sl-SI"/>
        </w:rPr>
        <w:t>s</w:t>
      </w:r>
      <w:r w:rsidRPr="00C14627">
        <w:rPr>
          <w:rFonts w:asciiTheme="majorHAnsi" w:eastAsia="Times New Roman" w:hAnsiTheme="majorHAnsi" w:cstheme="majorHAnsi"/>
          <w:lang w:eastAsia="sl-SI"/>
        </w:rPr>
        <w:t>kupine Impol in Impola 2000</w:t>
      </w:r>
      <w:r w:rsidR="00DE056B" w:rsidRPr="00C14627">
        <w:rPr>
          <w:rFonts w:asciiTheme="majorHAnsi" w:eastAsia="Times New Roman" w:hAnsiTheme="majorHAnsi" w:cstheme="majorHAnsi"/>
          <w:lang w:eastAsia="sl-SI"/>
        </w:rPr>
        <w:t>,</w:t>
      </w:r>
      <w:r w:rsidRPr="00C14627">
        <w:rPr>
          <w:rFonts w:asciiTheme="majorHAnsi" w:eastAsia="Times New Roman" w:hAnsiTheme="majorHAnsi" w:cstheme="majorHAnsi"/>
          <w:lang w:eastAsia="sl-SI"/>
        </w:rPr>
        <w:t xml:space="preserve"> d.</w:t>
      </w:r>
      <w:r w:rsidR="00DE056B" w:rsidRPr="00C14627">
        <w:rPr>
          <w:rFonts w:asciiTheme="majorHAnsi" w:eastAsia="Times New Roman" w:hAnsiTheme="majorHAnsi" w:cstheme="majorHAnsi"/>
          <w:lang w:eastAsia="sl-SI"/>
        </w:rPr>
        <w:t xml:space="preserve"> </w:t>
      </w:r>
      <w:r w:rsidRPr="00C14627">
        <w:rPr>
          <w:rFonts w:asciiTheme="majorHAnsi" w:eastAsia="Times New Roman" w:hAnsiTheme="majorHAnsi" w:cstheme="majorHAnsi"/>
          <w:lang w:eastAsia="sl-SI"/>
        </w:rPr>
        <w:t>d.</w:t>
      </w:r>
    </w:p>
    <w:p w:rsidR="00106D5F" w:rsidRPr="00C14627" w:rsidRDefault="00106D5F" w:rsidP="00106D5F">
      <w:pPr>
        <w:spacing w:after="0" w:line="240" w:lineRule="auto"/>
        <w:ind w:left="360"/>
        <w:jc w:val="both"/>
        <w:rPr>
          <w:rFonts w:asciiTheme="majorHAnsi" w:eastAsia="Times New Roman" w:hAnsiTheme="majorHAnsi" w:cstheme="majorHAnsi"/>
          <w:strike/>
          <w:lang w:eastAsia="sl-SI"/>
        </w:rPr>
      </w:pPr>
    </w:p>
    <w:p w:rsidR="00106D5F" w:rsidRPr="00C14627" w:rsidRDefault="00106D5F" w:rsidP="00106D5F">
      <w:pPr>
        <w:numPr>
          <w:ilvl w:val="0"/>
          <w:numId w:val="1"/>
        </w:numPr>
        <w:spacing w:after="0" w:line="240" w:lineRule="auto"/>
        <w:jc w:val="both"/>
        <w:rPr>
          <w:rFonts w:asciiTheme="majorHAnsi" w:eastAsia="Times New Roman" w:hAnsiTheme="majorHAnsi" w:cstheme="majorHAnsi"/>
          <w:u w:val="single"/>
          <w:lang w:eastAsia="sl-SI"/>
        </w:rPr>
      </w:pPr>
      <w:r w:rsidRPr="00C14627">
        <w:rPr>
          <w:rFonts w:asciiTheme="majorHAnsi" w:eastAsia="Times New Roman" w:hAnsiTheme="majorHAnsi" w:cstheme="majorHAnsi"/>
          <w:u w:val="single"/>
          <w:lang w:eastAsia="sl-SI"/>
        </w:rPr>
        <w:t>Odločanje o uporabi bilančnega dobička družbe in podelitvi razrešnice upravnemu odboru in izvršnima direktorjema družbe</w:t>
      </w:r>
    </w:p>
    <w:p w:rsidR="00106D5F" w:rsidRPr="00C14627" w:rsidRDefault="00106D5F" w:rsidP="00106D5F">
      <w:pPr>
        <w:spacing w:after="0" w:line="240" w:lineRule="auto"/>
        <w:ind w:left="360"/>
        <w:jc w:val="both"/>
        <w:rPr>
          <w:rFonts w:asciiTheme="majorHAnsi" w:eastAsia="Times New Roman" w:hAnsiTheme="majorHAnsi" w:cstheme="majorHAnsi"/>
          <w:lang w:eastAsia="sl-SI"/>
        </w:rPr>
      </w:pPr>
      <w:r w:rsidRPr="00C14627">
        <w:rPr>
          <w:rFonts w:asciiTheme="majorHAnsi" w:eastAsia="Times New Roman" w:hAnsiTheme="majorHAnsi" w:cstheme="majorHAnsi"/>
          <w:lang w:eastAsia="sl-SI"/>
        </w:rPr>
        <w:t xml:space="preserve">Skupščina se seznani, da znaša bilančni dobiček poslovnega leta 2018 </w:t>
      </w:r>
      <w:r w:rsidRPr="00C14627">
        <w:rPr>
          <w:rFonts w:asciiTheme="majorHAnsi" w:eastAsia="Times New Roman" w:hAnsiTheme="majorHAnsi" w:cstheme="majorHAnsi"/>
          <w:bCs/>
          <w:lang w:eastAsia="sl-SI"/>
        </w:rPr>
        <w:t xml:space="preserve">38.084.827,12 </w:t>
      </w:r>
      <w:r w:rsidRPr="00C14627">
        <w:rPr>
          <w:rFonts w:asciiTheme="majorHAnsi" w:eastAsia="Times New Roman" w:hAnsiTheme="majorHAnsi" w:cstheme="majorHAnsi"/>
          <w:lang w:eastAsia="sl-SI"/>
        </w:rPr>
        <w:t>EUR in da se je na dan 31. december 2018 oblikoval iz naslednjih postavk v zneskih:</w:t>
      </w:r>
    </w:p>
    <w:tbl>
      <w:tblPr>
        <w:tblW w:w="0" w:type="auto"/>
        <w:tblInd w:w="67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179"/>
        <w:gridCol w:w="2208"/>
      </w:tblGrid>
      <w:tr w:rsidR="00106D5F" w:rsidRPr="00C14627" w:rsidTr="00475CF2">
        <w:tc>
          <w:tcPr>
            <w:tcW w:w="6179" w:type="dxa"/>
            <w:vAlign w:val="center"/>
          </w:tcPr>
          <w:p w:rsidR="00106D5F" w:rsidRPr="00C14627" w:rsidRDefault="00106D5F" w:rsidP="00106D5F">
            <w:pPr>
              <w:numPr>
                <w:ilvl w:val="0"/>
                <w:numId w:val="2"/>
              </w:numPr>
              <w:spacing w:after="0" w:line="240" w:lineRule="auto"/>
              <w:contextualSpacing/>
              <w:jc w:val="both"/>
              <w:rPr>
                <w:rFonts w:asciiTheme="majorHAnsi" w:eastAsia="Calibri" w:hAnsiTheme="majorHAnsi" w:cstheme="majorHAnsi"/>
              </w:rPr>
            </w:pPr>
            <w:r w:rsidRPr="00C14627">
              <w:rPr>
                <w:rFonts w:asciiTheme="majorHAnsi" w:eastAsia="Calibri" w:hAnsiTheme="majorHAnsi" w:cstheme="majorHAnsi"/>
              </w:rPr>
              <w:t>doseženi čisti dobiček poslovnega leta 2018</w:t>
            </w:r>
          </w:p>
        </w:tc>
        <w:tc>
          <w:tcPr>
            <w:tcW w:w="2208" w:type="dxa"/>
            <w:vAlign w:val="center"/>
          </w:tcPr>
          <w:p w:rsidR="00106D5F" w:rsidRPr="00C14627" w:rsidRDefault="00106D5F" w:rsidP="00475CF2">
            <w:pPr>
              <w:spacing w:after="0" w:line="240" w:lineRule="auto"/>
              <w:jc w:val="right"/>
              <w:rPr>
                <w:rFonts w:asciiTheme="majorHAnsi" w:eastAsia="Times New Roman" w:hAnsiTheme="majorHAnsi" w:cstheme="majorHAnsi"/>
                <w:lang w:eastAsia="sl-SI"/>
              </w:rPr>
            </w:pPr>
            <w:r w:rsidRPr="00C14627">
              <w:rPr>
                <w:rFonts w:asciiTheme="majorHAnsi" w:eastAsia="Times New Roman" w:hAnsiTheme="majorHAnsi" w:cstheme="majorHAnsi"/>
                <w:lang w:eastAsia="sl-SI"/>
              </w:rPr>
              <w:t>5.482.936,58</w:t>
            </w:r>
            <w:r w:rsidR="00DE056B" w:rsidRPr="00C14627">
              <w:rPr>
                <w:rFonts w:asciiTheme="majorHAnsi" w:eastAsia="Times New Roman" w:hAnsiTheme="majorHAnsi" w:cstheme="majorHAnsi"/>
                <w:lang w:eastAsia="sl-SI"/>
              </w:rPr>
              <w:t xml:space="preserve"> EUR</w:t>
            </w:r>
          </w:p>
        </w:tc>
      </w:tr>
      <w:tr w:rsidR="00106D5F" w:rsidRPr="00C14627" w:rsidTr="00475CF2">
        <w:tc>
          <w:tcPr>
            <w:tcW w:w="6179" w:type="dxa"/>
            <w:vAlign w:val="center"/>
          </w:tcPr>
          <w:p w:rsidR="00106D5F" w:rsidRPr="00C14627" w:rsidRDefault="00106D5F" w:rsidP="00106D5F">
            <w:pPr>
              <w:numPr>
                <w:ilvl w:val="0"/>
                <w:numId w:val="2"/>
              </w:numPr>
              <w:spacing w:after="0" w:line="240" w:lineRule="auto"/>
              <w:contextualSpacing/>
              <w:jc w:val="both"/>
              <w:rPr>
                <w:rFonts w:asciiTheme="majorHAnsi" w:eastAsia="Calibri" w:hAnsiTheme="majorHAnsi" w:cstheme="majorHAnsi"/>
              </w:rPr>
            </w:pPr>
            <w:r w:rsidRPr="00C14627">
              <w:rPr>
                <w:rFonts w:asciiTheme="majorHAnsi" w:eastAsia="Calibri" w:hAnsiTheme="majorHAnsi" w:cstheme="majorHAnsi"/>
              </w:rPr>
              <w:t>del čistega dobička, doseženega v poslovnem letu 2018, razporejenega v statutarne rezerve</w:t>
            </w:r>
          </w:p>
        </w:tc>
        <w:tc>
          <w:tcPr>
            <w:tcW w:w="2208" w:type="dxa"/>
            <w:vAlign w:val="center"/>
          </w:tcPr>
          <w:p w:rsidR="00106D5F" w:rsidRPr="00C14627" w:rsidRDefault="00106D5F" w:rsidP="00475CF2">
            <w:pPr>
              <w:spacing w:after="0" w:line="240" w:lineRule="auto"/>
              <w:jc w:val="right"/>
              <w:rPr>
                <w:rFonts w:asciiTheme="majorHAnsi" w:eastAsia="Times New Roman" w:hAnsiTheme="majorHAnsi" w:cstheme="majorHAnsi"/>
                <w:lang w:eastAsia="sl-SI"/>
              </w:rPr>
            </w:pPr>
          </w:p>
        </w:tc>
      </w:tr>
      <w:tr w:rsidR="00106D5F" w:rsidRPr="00C14627" w:rsidTr="00475CF2">
        <w:tc>
          <w:tcPr>
            <w:tcW w:w="6179" w:type="dxa"/>
            <w:vAlign w:val="center"/>
          </w:tcPr>
          <w:p w:rsidR="00106D5F" w:rsidRPr="00C14627" w:rsidRDefault="00106D5F" w:rsidP="00106D5F">
            <w:pPr>
              <w:numPr>
                <w:ilvl w:val="0"/>
                <w:numId w:val="2"/>
              </w:numPr>
              <w:spacing w:after="0" w:line="240" w:lineRule="auto"/>
              <w:contextualSpacing/>
              <w:jc w:val="both"/>
              <w:rPr>
                <w:rFonts w:asciiTheme="majorHAnsi" w:eastAsia="Calibri" w:hAnsiTheme="majorHAnsi" w:cstheme="majorHAnsi"/>
              </w:rPr>
            </w:pPr>
            <w:r w:rsidRPr="00C14627">
              <w:rPr>
                <w:rFonts w:asciiTheme="majorHAnsi" w:eastAsia="Calibri" w:hAnsiTheme="majorHAnsi" w:cstheme="majorHAnsi"/>
              </w:rPr>
              <w:t>del prenesenega dobička iz predhodnih obdobij</w:t>
            </w:r>
          </w:p>
        </w:tc>
        <w:tc>
          <w:tcPr>
            <w:tcW w:w="2208" w:type="dxa"/>
            <w:vAlign w:val="center"/>
          </w:tcPr>
          <w:p w:rsidR="00106D5F" w:rsidRPr="00C14627" w:rsidRDefault="00106D5F" w:rsidP="00475CF2">
            <w:pPr>
              <w:spacing w:after="0" w:line="240" w:lineRule="auto"/>
              <w:jc w:val="right"/>
              <w:rPr>
                <w:rFonts w:asciiTheme="majorHAnsi" w:eastAsia="Times New Roman" w:hAnsiTheme="majorHAnsi" w:cstheme="majorHAnsi"/>
                <w:lang w:eastAsia="sl-SI"/>
              </w:rPr>
            </w:pPr>
            <w:r w:rsidRPr="00C14627">
              <w:rPr>
                <w:rFonts w:asciiTheme="majorHAnsi" w:eastAsia="Times New Roman" w:hAnsiTheme="majorHAnsi" w:cstheme="majorHAnsi"/>
                <w:lang w:eastAsia="sl-SI"/>
              </w:rPr>
              <w:t>32.601.890,54</w:t>
            </w:r>
            <w:r w:rsidR="00DE056B" w:rsidRPr="00C14627">
              <w:rPr>
                <w:rFonts w:asciiTheme="majorHAnsi" w:eastAsia="Times New Roman" w:hAnsiTheme="majorHAnsi" w:cstheme="majorHAnsi"/>
                <w:lang w:eastAsia="sl-SI"/>
              </w:rPr>
              <w:t xml:space="preserve"> EUR</w:t>
            </w:r>
          </w:p>
        </w:tc>
      </w:tr>
      <w:tr w:rsidR="00106D5F" w:rsidRPr="00C14627" w:rsidTr="00475CF2">
        <w:tc>
          <w:tcPr>
            <w:tcW w:w="6179" w:type="dxa"/>
            <w:vAlign w:val="center"/>
          </w:tcPr>
          <w:p w:rsidR="00106D5F" w:rsidRPr="00C14627" w:rsidRDefault="00106D5F" w:rsidP="00475CF2">
            <w:pPr>
              <w:spacing w:after="0" w:line="240" w:lineRule="auto"/>
              <w:jc w:val="both"/>
              <w:rPr>
                <w:rFonts w:asciiTheme="majorHAnsi" w:eastAsia="Times New Roman" w:hAnsiTheme="majorHAnsi" w:cstheme="majorHAnsi"/>
                <w:lang w:eastAsia="sl-SI"/>
              </w:rPr>
            </w:pPr>
            <w:r w:rsidRPr="00C14627">
              <w:rPr>
                <w:rFonts w:asciiTheme="majorHAnsi" w:eastAsia="Times New Roman" w:hAnsiTheme="majorHAnsi" w:cstheme="majorHAnsi"/>
                <w:lang w:eastAsia="sl-SI"/>
              </w:rPr>
              <w:t>Skupaj oblikovani bilančni dobiček (a-b+c)</w:t>
            </w:r>
          </w:p>
        </w:tc>
        <w:tc>
          <w:tcPr>
            <w:tcW w:w="2208" w:type="dxa"/>
            <w:vAlign w:val="center"/>
          </w:tcPr>
          <w:p w:rsidR="00106D5F" w:rsidRPr="00C14627" w:rsidRDefault="00106D5F" w:rsidP="00475CF2">
            <w:pPr>
              <w:spacing w:after="0" w:line="240" w:lineRule="auto"/>
              <w:jc w:val="right"/>
              <w:rPr>
                <w:rFonts w:asciiTheme="majorHAnsi" w:eastAsia="Times New Roman" w:hAnsiTheme="majorHAnsi" w:cstheme="majorHAnsi"/>
                <w:lang w:eastAsia="sl-SI"/>
              </w:rPr>
            </w:pPr>
            <w:r w:rsidRPr="00C14627">
              <w:rPr>
                <w:rFonts w:asciiTheme="majorHAnsi" w:eastAsia="Times New Roman" w:hAnsiTheme="majorHAnsi" w:cstheme="majorHAnsi"/>
                <w:lang w:eastAsia="sl-SI"/>
              </w:rPr>
              <w:t>38.084.827,12</w:t>
            </w:r>
            <w:r w:rsidR="00DE056B" w:rsidRPr="00C14627">
              <w:rPr>
                <w:rFonts w:asciiTheme="majorHAnsi" w:eastAsia="Times New Roman" w:hAnsiTheme="majorHAnsi" w:cstheme="majorHAnsi"/>
                <w:lang w:eastAsia="sl-SI"/>
              </w:rPr>
              <w:t xml:space="preserve"> EUR</w:t>
            </w:r>
          </w:p>
        </w:tc>
      </w:tr>
    </w:tbl>
    <w:p w:rsidR="00106D5F" w:rsidRPr="00C14627" w:rsidRDefault="00106D5F" w:rsidP="00106D5F">
      <w:pPr>
        <w:spacing w:after="0" w:line="240" w:lineRule="auto"/>
        <w:ind w:left="851" w:hanging="491"/>
        <w:jc w:val="both"/>
        <w:rPr>
          <w:rFonts w:asciiTheme="majorHAnsi" w:eastAsia="Times New Roman" w:hAnsiTheme="majorHAnsi" w:cstheme="majorHAnsi"/>
          <w:lang w:eastAsia="sl-SI"/>
        </w:rPr>
      </w:pPr>
    </w:p>
    <w:p w:rsidR="00106D5F" w:rsidRPr="00C14627" w:rsidRDefault="00106D5F" w:rsidP="00106D5F">
      <w:pPr>
        <w:spacing w:after="0" w:line="240" w:lineRule="auto"/>
        <w:ind w:left="851" w:hanging="491"/>
        <w:jc w:val="both"/>
        <w:rPr>
          <w:rFonts w:asciiTheme="majorHAnsi" w:eastAsia="Times New Roman" w:hAnsiTheme="majorHAnsi" w:cstheme="majorHAnsi"/>
          <w:lang w:eastAsia="sl-SI"/>
        </w:rPr>
      </w:pPr>
      <w:r w:rsidRPr="00C14627">
        <w:rPr>
          <w:rFonts w:asciiTheme="majorHAnsi" w:eastAsia="Times New Roman" w:hAnsiTheme="majorHAnsi" w:cstheme="majorHAnsi"/>
          <w:lang w:eastAsia="sl-SI"/>
        </w:rPr>
        <w:t xml:space="preserve">Predlog sklepa št. 2 </w:t>
      </w:r>
    </w:p>
    <w:p w:rsidR="00106D5F" w:rsidRPr="00C14627" w:rsidRDefault="00106D5F" w:rsidP="00106D5F">
      <w:pPr>
        <w:spacing w:after="0" w:line="240" w:lineRule="auto"/>
        <w:ind w:left="426"/>
        <w:jc w:val="both"/>
        <w:rPr>
          <w:rFonts w:asciiTheme="majorHAnsi" w:eastAsia="Times New Roman" w:hAnsiTheme="majorHAnsi" w:cstheme="majorHAnsi"/>
          <w:lang w:eastAsia="sl-SI"/>
        </w:rPr>
      </w:pPr>
      <w:r w:rsidRPr="00C14627">
        <w:rPr>
          <w:rFonts w:asciiTheme="majorHAnsi" w:eastAsia="Times New Roman" w:hAnsiTheme="majorHAnsi" w:cstheme="majorHAnsi"/>
          <w:lang w:eastAsia="sl-SI"/>
        </w:rPr>
        <w:t>Na predlog upravnega odbora se oblikovani bilančni dobiček družbe Impol 2000, d. d.</w:t>
      </w:r>
      <w:r w:rsidR="00DE056B" w:rsidRPr="00C14627">
        <w:rPr>
          <w:rFonts w:asciiTheme="majorHAnsi" w:eastAsia="Times New Roman" w:hAnsiTheme="majorHAnsi" w:cstheme="majorHAnsi"/>
          <w:lang w:eastAsia="sl-SI"/>
        </w:rPr>
        <w:t>,</w:t>
      </w:r>
      <w:r w:rsidRPr="00C14627">
        <w:rPr>
          <w:rFonts w:asciiTheme="majorHAnsi" w:eastAsia="Times New Roman" w:hAnsiTheme="majorHAnsi" w:cstheme="majorHAnsi"/>
          <w:lang w:eastAsia="sl-SI"/>
        </w:rPr>
        <w:t xml:space="preserve"> v višini </w:t>
      </w:r>
      <w:r w:rsidRPr="00C14627">
        <w:rPr>
          <w:rFonts w:asciiTheme="majorHAnsi" w:eastAsia="Times New Roman" w:hAnsiTheme="majorHAnsi" w:cstheme="majorHAnsi"/>
          <w:bCs/>
          <w:lang w:eastAsia="sl-SI"/>
        </w:rPr>
        <w:t>4.000.376,25 EUR</w:t>
      </w:r>
      <w:r w:rsidRPr="00C14627">
        <w:rPr>
          <w:rFonts w:asciiTheme="majorHAnsi" w:eastAsia="Times New Roman" w:hAnsiTheme="majorHAnsi" w:cstheme="majorHAnsi"/>
          <w:lang w:eastAsia="sl-SI"/>
        </w:rPr>
        <w:t xml:space="preserve"> uporabi:</w:t>
      </w:r>
    </w:p>
    <w:p w:rsidR="00106D5F" w:rsidRPr="00C14627" w:rsidRDefault="00106D5F" w:rsidP="00106D5F">
      <w:pPr>
        <w:numPr>
          <w:ilvl w:val="1"/>
          <w:numId w:val="3"/>
        </w:numPr>
        <w:spacing w:after="0" w:line="240" w:lineRule="auto"/>
        <w:contextualSpacing/>
        <w:jc w:val="both"/>
        <w:rPr>
          <w:rFonts w:asciiTheme="majorHAnsi" w:eastAsia="Calibri" w:hAnsiTheme="majorHAnsi" w:cstheme="majorHAnsi"/>
        </w:rPr>
      </w:pPr>
      <w:r w:rsidRPr="00C14627">
        <w:rPr>
          <w:rFonts w:asciiTheme="majorHAnsi" w:eastAsia="Calibri" w:hAnsiTheme="majorHAnsi" w:cstheme="majorHAnsi"/>
        </w:rPr>
        <w:t>Dividende se delničarjem izplačajo v višini 3,75  EUR bruto na delnico.</w:t>
      </w:r>
    </w:p>
    <w:p w:rsidR="00106D5F" w:rsidRPr="00C14627" w:rsidRDefault="00106D5F" w:rsidP="00106D5F">
      <w:pPr>
        <w:numPr>
          <w:ilvl w:val="1"/>
          <w:numId w:val="3"/>
        </w:numPr>
        <w:spacing w:after="0" w:line="240" w:lineRule="auto"/>
        <w:jc w:val="both"/>
        <w:rPr>
          <w:rFonts w:asciiTheme="majorHAnsi" w:eastAsia="Times New Roman" w:hAnsiTheme="majorHAnsi" w:cstheme="majorHAnsi"/>
          <w:lang w:eastAsia="sl-SI"/>
        </w:rPr>
      </w:pPr>
      <w:r w:rsidRPr="00C14627">
        <w:rPr>
          <w:rFonts w:asciiTheme="majorHAnsi" w:eastAsia="Times New Roman" w:hAnsiTheme="majorHAnsi" w:cstheme="majorHAnsi"/>
          <w:lang w:eastAsia="sl-SI"/>
        </w:rPr>
        <w:t xml:space="preserve">Ostali del bilančnega dobička v višini 34.084.450,87 EUR ostane nerazporejen. </w:t>
      </w:r>
    </w:p>
    <w:p w:rsidR="00106D5F" w:rsidRPr="00C14627" w:rsidRDefault="00106D5F" w:rsidP="00106D5F">
      <w:pPr>
        <w:spacing w:after="0" w:line="240" w:lineRule="auto"/>
        <w:ind w:left="426"/>
        <w:jc w:val="both"/>
        <w:rPr>
          <w:rFonts w:asciiTheme="majorHAnsi" w:eastAsia="Times New Roman" w:hAnsiTheme="majorHAnsi" w:cstheme="majorHAnsi"/>
          <w:lang w:eastAsia="sl-SI"/>
        </w:rPr>
      </w:pPr>
      <w:r w:rsidRPr="00C14627">
        <w:rPr>
          <w:rFonts w:asciiTheme="majorHAnsi" w:eastAsia="Times New Roman" w:hAnsiTheme="majorHAnsi" w:cstheme="majorHAnsi"/>
          <w:lang w:eastAsia="sl-SI"/>
        </w:rPr>
        <w:t>Dividende se izplačajo do konca septembra 2019 vsem delničarjem, ki bodo v delniško knjigo vpisani en delovni dan pred dnem izplačil. Zastaralni rok za izplačilo dividend, ki je 5 let, prične teči s 1. oktobrom 2019.</w:t>
      </w:r>
    </w:p>
    <w:p w:rsidR="00106D5F" w:rsidRPr="00C14627" w:rsidRDefault="00106D5F" w:rsidP="00106D5F">
      <w:pPr>
        <w:spacing w:after="0" w:line="240" w:lineRule="auto"/>
        <w:jc w:val="both"/>
        <w:rPr>
          <w:rFonts w:asciiTheme="majorHAnsi" w:eastAsia="Times New Roman" w:hAnsiTheme="majorHAnsi" w:cstheme="majorHAnsi"/>
          <w:lang w:eastAsia="sl-SI"/>
        </w:rPr>
      </w:pPr>
    </w:p>
    <w:p w:rsidR="00106D5F" w:rsidRPr="00C14627" w:rsidRDefault="00106D5F" w:rsidP="00106D5F">
      <w:pPr>
        <w:spacing w:after="0" w:line="240" w:lineRule="auto"/>
        <w:jc w:val="both"/>
        <w:rPr>
          <w:rFonts w:asciiTheme="majorHAnsi" w:eastAsia="Times New Roman" w:hAnsiTheme="majorHAnsi" w:cstheme="majorHAnsi"/>
          <w:lang w:eastAsia="sl-SI"/>
        </w:rPr>
      </w:pPr>
      <w:r w:rsidRPr="00C14627">
        <w:rPr>
          <w:rFonts w:asciiTheme="majorHAnsi" w:eastAsia="Times New Roman" w:hAnsiTheme="majorHAnsi" w:cstheme="majorHAnsi"/>
          <w:lang w:eastAsia="sl-SI"/>
        </w:rPr>
        <w:t>Predlog sklepa št. 3</w:t>
      </w:r>
    </w:p>
    <w:p w:rsidR="00106D5F" w:rsidRPr="00C14627" w:rsidRDefault="00106D5F" w:rsidP="00106D5F">
      <w:pPr>
        <w:numPr>
          <w:ilvl w:val="0"/>
          <w:numId w:val="4"/>
        </w:numPr>
        <w:spacing w:after="0" w:line="240" w:lineRule="auto"/>
        <w:jc w:val="both"/>
        <w:rPr>
          <w:rFonts w:asciiTheme="majorHAnsi" w:eastAsia="Calibri" w:hAnsiTheme="majorHAnsi" w:cstheme="majorHAnsi"/>
          <w:vanish/>
        </w:rPr>
      </w:pPr>
    </w:p>
    <w:p w:rsidR="00106D5F" w:rsidRPr="00C14627" w:rsidRDefault="00106D5F" w:rsidP="00106D5F">
      <w:pPr>
        <w:numPr>
          <w:ilvl w:val="0"/>
          <w:numId w:val="4"/>
        </w:numPr>
        <w:spacing w:after="0" w:line="240" w:lineRule="auto"/>
        <w:jc w:val="both"/>
        <w:rPr>
          <w:rFonts w:asciiTheme="majorHAnsi" w:eastAsia="Calibri" w:hAnsiTheme="majorHAnsi" w:cstheme="majorHAnsi"/>
          <w:vanish/>
        </w:rPr>
      </w:pPr>
    </w:p>
    <w:p w:rsidR="00106D5F" w:rsidRPr="00C14627" w:rsidRDefault="00106D5F" w:rsidP="00106D5F">
      <w:pPr>
        <w:numPr>
          <w:ilvl w:val="0"/>
          <w:numId w:val="4"/>
        </w:numPr>
        <w:spacing w:after="0" w:line="240" w:lineRule="auto"/>
        <w:jc w:val="both"/>
        <w:rPr>
          <w:rFonts w:asciiTheme="majorHAnsi" w:eastAsia="Calibri" w:hAnsiTheme="majorHAnsi" w:cstheme="majorHAnsi"/>
          <w:vanish/>
        </w:rPr>
      </w:pPr>
    </w:p>
    <w:p w:rsidR="00106D5F" w:rsidRPr="00C14627" w:rsidRDefault="00106D5F" w:rsidP="00106D5F">
      <w:pPr>
        <w:numPr>
          <w:ilvl w:val="1"/>
          <w:numId w:val="4"/>
        </w:numPr>
        <w:spacing w:after="0" w:line="240" w:lineRule="auto"/>
        <w:jc w:val="both"/>
        <w:rPr>
          <w:rFonts w:asciiTheme="majorHAnsi" w:eastAsia="Calibri" w:hAnsiTheme="majorHAnsi" w:cstheme="majorHAnsi"/>
          <w:vanish/>
        </w:rPr>
      </w:pPr>
    </w:p>
    <w:p w:rsidR="00106D5F" w:rsidRPr="00C14627" w:rsidRDefault="00106D5F" w:rsidP="00106D5F">
      <w:pPr>
        <w:numPr>
          <w:ilvl w:val="1"/>
          <w:numId w:val="4"/>
        </w:numPr>
        <w:spacing w:after="0" w:line="240" w:lineRule="auto"/>
        <w:jc w:val="both"/>
        <w:rPr>
          <w:rFonts w:asciiTheme="majorHAnsi" w:eastAsia="Calibri" w:hAnsiTheme="majorHAnsi" w:cstheme="majorHAnsi"/>
          <w:vanish/>
        </w:rPr>
      </w:pPr>
    </w:p>
    <w:p w:rsidR="00106D5F" w:rsidRPr="00C14627" w:rsidRDefault="00106D5F" w:rsidP="00106D5F">
      <w:pPr>
        <w:numPr>
          <w:ilvl w:val="1"/>
          <w:numId w:val="3"/>
        </w:numPr>
        <w:spacing w:after="0" w:line="240" w:lineRule="auto"/>
        <w:ind w:left="851"/>
        <w:contextualSpacing/>
        <w:jc w:val="both"/>
        <w:rPr>
          <w:rFonts w:asciiTheme="majorHAnsi" w:eastAsia="Calibri" w:hAnsiTheme="majorHAnsi" w:cstheme="majorHAnsi"/>
        </w:rPr>
      </w:pPr>
      <w:r w:rsidRPr="00C14627">
        <w:rPr>
          <w:rFonts w:asciiTheme="majorHAnsi" w:eastAsia="Calibri" w:hAnsiTheme="majorHAnsi" w:cstheme="majorHAnsi"/>
        </w:rPr>
        <w:t>Upravnemu odboru družbe Impol 2000</w:t>
      </w:r>
      <w:r w:rsidR="00DE056B" w:rsidRPr="00C14627">
        <w:rPr>
          <w:rFonts w:asciiTheme="majorHAnsi" w:eastAsia="Calibri" w:hAnsiTheme="majorHAnsi" w:cstheme="majorHAnsi"/>
        </w:rPr>
        <w:t>,</w:t>
      </w:r>
      <w:r w:rsidRPr="00C14627">
        <w:rPr>
          <w:rFonts w:asciiTheme="majorHAnsi" w:eastAsia="Calibri" w:hAnsiTheme="majorHAnsi" w:cstheme="majorHAnsi"/>
        </w:rPr>
        <w:t xml:space="preserve"> d.</w:t>
      </w:r>
      <w:r w:rsidR="00DE056B" w:rsidRPr="00C14627">
        <w:rPr>
          <w:rFonts w:asciiTheme="majorHAnsi" w:eastAsia="Calibri" w:hAnsiTheme="majorHAnsi" w:cstheme="majorHAnsi"/>
        </w:rPr>
        <w:t xml:space="preserve"> </w:t>
      </w:r>
      <w:r w:rsidRPr="00C14627">
        <w:rPr>
          <w:rFonts w:asciiTheme="majorHAnsi" w:eastAsia="Calibri" w:hAnsiTheme="majorHAnsi" w:cstheme="majorHAnsi"/>
        </w:rPr>
        <w:t>d.</w:t>
      </w:r>
      <w:r w:rsidR="00DE056B" w:rsidRPr="00C14627">
        <w:rPr>
          <w:rFonts w:asciiTheme="majorHAnsi" w:eastAsia="Calibri" w:hAnsiTheme="majorHAnsi" w:cstheme="majorHAnsi"/>
        </w:rPr>
        <w:t>,</w:t>
      </w:r>
      <w:r w:rsidRPr="00C14627">
        <w:rPr>
          <w:rFonts w:asciiTheme="majorHAnsi" w:eastAsia="Calibri" w:hAnsiTheme="majorHAnsi" w:cstheme="majorHAnsi"/>
        </w:rPr>
        <w:t xml:space="preserve"> se podeli razrešnica za poslovno leto 2018.</w:t>
      </w:r>
    </w:p>
    <w:p w:rsidR="00106D5F" w:rsidRPr="00C14627" w:rsidRDefault="00106D5F" w:rsidP="00106D5F">
      <w:pPr>
        <w:spacing w:after="0" w:line="240" w:lineRule="auto"/>
        <w:jc w:val="both"/>
        <w:rPr>
          <w:rFonts w:asciiTheme="majorHAnsi" w:eastAsia="Times New Roman" w:hAnsiTheme="majorHAnsi" w:cstheme="majorHAnsi"/>
          <w:lang w:eastAsia="sl-SI"/>
        </w:rPr>
      </w:pPr>
    </w:p>
    <w:p w:rsidR="00106D5F" w:rsidRPr="00C14627" w:rsidRDefault="00106D5F" w:rsidP="00106D5F">
      <w:pPr>
        <w:spacing w:after="0" w:line="240" w:lineRule="auto"/>
        <w:jc w:val="both"/>
        <w:rPr>
          <w:rFonts w:asciiTheme="majorHAnsi" w:eastAsia="Times New Roman" w:hAnsiTheme="majorHAnsi" w:cstheme="majorHAnsi"/>
          <w:lang w:eastAsia="sl-SI"/>
        </w:rPr>
      </w:pPr>
      <w:r w:rsidRPr="00C14627">
        <w:rPr>
          <w:rFonts w:asciiTheme="majorHAnsi" w:eastAsia="Times New Roman" w:hAnsiTheme="majorHAnsi" w:cstheme="majorHAnsi"/>
          <w:lang w:eastAsia="sl-SI"/>
        </w:rPr>
        <w:t>Predlog sklepa št. 4</w:t>
      </w:r>
    </w:p>
    <w:p w:rsidR="00106D5F" w:rsidRPr="00C14627" w:rsidRDefault="00106D5F" w:rsidP="00106D5F">
      <w:pPr>
        <w:numPr>
          <w:ilvl w:val="1"/>
          <w:numId w:val="3"/>
        </w:numPr>
        <w:spacing w:after="0" w:line="240" w:lineRule="auto"/>
        <w:ind w:left="851"/>
        <w:contextualSpacing/>
        <w:jc w:val="both"/>
        <w:rPr>
          <w:rFonts w:asciiTheme="majorHAnsi" w:eastAsia="Calibri" w:hAnsiTheme="majorHAnsi" w:cstheme="majorHAnsi"/>
        </w:rPr>
      </w:pPr>
      <w:r w:rsidRPr="00C14627">
        <w:rPr>
          <w:rFonts w:asciiTheme="majorHAnsi" w:eastAsia="Calibri" w:hAnsiTheme="majorHAnsi" w:cstheme="majorHAnsi"/>
        </w:rPr>
        <w:t>Izvršnima direktorjema družbe Impol 2000</w:t>
      </w:r>
      <w:r w:rsidR="00DE056B" w:rsidRPr="00C14627">
        <w:rPr>
          <w:rFonts w:asciiTheme="majorHAnsi" w:eastAsia="Calibri" w:hAnsiTheme="majorHAnsi" w:cstheme="majorHAnsi"/>
        </w:rPr>
        <w:t>,</w:t>
      </w:r>
      <w:r w:rsidRPr="00C14627">
        <w:rPr>
          <w:rFonts w:asciiTheme="majorHAnsi" w:eastAsia="Calibri" w:hAnsiTheme="majorHAnsi" w:cstheme="majorHAnsi"/>
        </w:rPr>
        <w:t xml:space="preserve"> d.</w:t>
      </w:r>
      <w:r w:rsidR="00DE056B" w:rsidRPr="00C14627">
        <w:rPr>
          <w:rFonts w:asciiTheme="majorHAnsi" w:eastAsia="Calibri" w:hAnsiTheme="majorHAnsi" w:cstheme="majorHAnsi"/>
        </w:rPr>
        <w:t xml:space="preserve"> </w:t>
      </w:r>
      <w:r w:rsidRPr="00C14627">
        <w:rPr>
          <w:rFonts w:asciiTheme="majorHAnsi" w:eastAsia="Calibri" w:hAnsiTheme="majorHAnsi" w:cstheme="majorHAnsi"/>
        </w:rPr>
        <w:t>d.</w:t>
      </w:r>
      <w:r w:rsidR="00DE056B" w:rsidRPr="00C14627">
        <w:rPr>
          <w:rFonts w:asciiTheme="majorHAnsi" w:eastAsia="Calibri" w:hAnsiTheme="majorHAnsi" w:cstheme="majorHAnsi"/>
        </w:rPr>
        <w:t>,</w:t>
      </w:r>
      <w:r w:rsidRPr="00C14627">
        <w:rPr>
          <w:rFonts w:asciiTheme="majorHAnsi" w:eastAsia="Calibri" w:hAnsiTheme="majorHAnsi" w:cstheme="majorHAnsi"/>
        </w:rPr>
        <w:t xml:space="preserve"> se podeli razrešnica za poslovno leto 2018.</w:t>
      </w:r>
    </w:p>
    <w:p w:rsidR="00106D5F" w:rsidRPr="00C14627" w:rsidRDefault="00106D5F" w:rsidP="00106D5F">
      <w:pPr>
        <w:spacing w:after="0" w:line="240" w:lineRule="auto"/>
        <w:ind w:left="360"/>
        <w:jc w:val="both"/>
        <w:rPr>
          <w:rFonts w:asciiTheme="majorHAnsi" w:eastAsia="Times New Roman" w:hAnsiTheme="majorHAnsi" w:cstheme="majorHAnsi"/>
          <w:u w:val="single"/>
          <w:lang w:eastAsia="sl-SI"/>
        </w:rPr>
      </w:pPr>
    </w:p>
    <w:p w:rsidR="00106D5F" w:rsidRPr="00C14627" w:rsidRDefault="00106D5F" w:rsidP="00106D5F">
      <w:pPr>
        <w:numPr>
          <w:ilvl w:val="0"/>
          <w:numId w:val="4"/>
        </w:numPr>
        <w:spacing w:after="0" w:line="240" w:lineRule="auto"/>
        <w:contextualSpacing/>
        <w:jc w:val="both"/>
        <w:rPr>
          <w:rFonts w:asciiTheme="majorHAnsi" w:eastAsia="Calibri" w:hAnsiTheme="majorHAnsi" w:cstheme="majorHAnsi"/>
          <w:u w:val="single"/>
        </w:rPr>
      </w:pPr>
      <w:r w:rsidRPr="00C14627">
        <w:rPr>
          <w:rFonts w:asciiTheme="majorHAnsi" w:eastAsia="Calibri" w:hAnsiTheme="majorHAnsi" w:cstheme="majorHAnsi"/>
          <w:u w:val="single"/>
        </w:rPr>
        <w:t>Imenovanje pooblaščenega revizorja za leto 2019.</w:t>
      </w:r>
    </w:p>
    <w:p w:rsidR="00106D5F" w:rsidRPr="00C14627" w:rsidRDefault="00106D5F" w:rsidP="00106D5F">
      <w:pPr>
        <w:spacing w:after="0" w:line="240" w:lineRule="auto"/>
        <w:jc w:val="both"/>
        <w:rPr>
          <w:rFonts w:asciiTheme="majorHAnsi" w:eastAsia="Times New Roman" w:hAnsiTheme="majorHAnsi" w:cstheme="majorHAnsi"/>
          <w:lang w:eastAsia="sl-SI"/>
        </w:rPr>
      </w:pPr>
    </w:p>
    <w:p w:rsidR="00106D5F" w:rsidRPr="00C14627" w:rsidRDefault="00106D5F" w:rsidP="00106D5F">
      <w:pPr>
        <w:spacing w:after="0" w:line="240" w:lineRule="auto"/>
        <w:jc w:val="both"/>
        <w:rPr>
          <w:rFonts w:asciiTheme="majorHAnsi" w:eastAsia="Times New Roman" w:hAnsiTheme="majorHAnsi" w:cstheme="majorHAnsi"/>
          <w:lang w:eastAsia="sl-SI"/>
        </w:rPr>
      </w:pPr>
      <w:r w:rsidRPr="00C14627">
        <w:rPr>
          <w:rFonts w:asciiTheme="majorHAnsi" w:eastAsia="Times New Roman" w:hAnsiTheme="majorHAnsi" w:cstheme="majorHAnsi"/>
          <w:lang w:eastAsia="sl-SI"/>
        </w:rPr>
        <w:t>Predlog sklepa št. 5</w:t>
      </w:r>
    </w:p>
    <w:p w:rsidR="00106D5F" w:rsidRPr="00C14627" w:rsidRDefault="00106D5F" w:rsidP="00106D5F">
      <w:pPr>
        <w:spacing w:after="0" w:line="240" w:lineRule="auto"/>
        <w:ind w:left="426"/>
        <w:jc w:val="both"/>
        <w:rPr>
          <w:rFonts w:asciiTheme="majorHAnsi" w:eastAsia="Times New Roman" w:hAnsiTheme="majorHAnsi" w:cstheme="majorHAnsi"/>
          <w:lang w:eastAsia="sl-SI"/>
        </w:rPr>
      </w:pPr>
      <w:r w:rsidRPr="00C14627">
        <w:rPr>
          <w:rFonts w:asciiTheme="majorHAnsi" w:eastAsia="Times New Roman" w:hAnsiTheme="majorHAnsi" w:cstheme="majorHAnsi"/>
          <w:lang w:eastAsia="sl-SI"/>
        </w:rPr>
        <w:t>Na predlog upravnega odbora se za pooblaščenega revizorja za leto 2019 imenuje družba Auditor, revizijska družba, d.</w:t>
      </w:r>
      <w:r w:rsidR="00DE056B" w:rsidRPr="00C14627">
        <w:rPr>
          <w:rFonts w:asciiTheme="majorHAnsi" w:eastAsia="Times New Roman" w:hAnsiTheme="majorHAnsi" w:cstheme="majorHAnsi"/>
          <w:lang w:eastAsia="sl-SI"/>
        </w:rPr>
        <w:t xml:space="preserve"> </w:t>
      </w:r>
      <w:r w:rsidRPr="00C14627">
        <w:rPr>
          <w:rFonts w:asciiTheme="majorHAnsi" w:eastAsia="Times New Roman" w:hAnsiTheme="majorHAnsi" w:cstheme="majorHAnsi"/>
          <w:lang w:eastAsia="sl-SI"/>
        </w:rPr>
        <w:t>o.</w:t>
      </w:r>
      <w:r w:rsidR="00DE056B" w:rsidRPr="00C14627">
        <w:rPr>
          <w:rFonts w:asciiTheme="majorHAnsi" w:eastAsia="Times New Roman" w:hAnsiTheme="majorHAnsi" w:cstheme="majorHAnsi"/>
          <w:lang w:eastAsia="sl-SI"/>
        </w:rPr>
        <w:t xml:space="preserve"> </w:t>
      </w:r>
      <w:r w:rsidRPr="00C14627">
        <w:rPr>
          <w:rFonts w:asciiTheme="majorHAnsi" w:eastAsia="Times New Roman" w:hAnsiTheme="majorHAnsi" w:cstheme="majorHAnsi"/>
          <w:lang w:eastAsia="sl-SI"/>
        </w:rPr>
        <w:t>o.</w:t>
      </w:r>
      <w:r w:rsidR="00DE056B" w:rsidRPr="00C14627">
        <w:rPr>
          <w:rFonts w:asciiTheme="majorHAnsi" w:eastAsia="Times New Roman" w:hAnsiTheme="majorHAnsi" w:cstheme="majorHAnsi"/>
          <w:lang w:eastAsia="sl-SI"/>
        </w:rPr>
        <w:t>,</w:t>
      </w:r>
      <w:r w:rsidRPr="00C14627">
        <w:rPr>
          <w:rFonts w:asciiTheme="majorHAnsi" w:eastAsia="Times New Roman" w:hAnsiTheme="majorHAnsi" w:cstheme="majorHAnsi"/>
          <w:lang w:eastAsia="sl-SI"/>
        </w:rPr>
        <w:t xml:space="preserve"> Ptuj.</w:t>
      </w:r>
    </w:p>
    <w:p w:rsidR="00106D5F" w:rsidRPr="00C14627" w:rsidRDefault="00106D5F" w:rsidP="00106D5F">
      <w:pPr>
        <w:spacing w:after="0" w:line="240" w:lineRule="auto"/>
        <w:ind w:left="426"/>
        <w:jc w:val="both"/>
        <w:rPr>
          <w:rFonts w:asciiTheme="majorHAnsi" w:eastAsia="Times New Roman" w:hAnsiTheme="majorHAnsi" w:cstheme="majorHAnsi"/>
          <w:lang w:eastAsia="sl-SI"/>
        </w:rPr>
      </w:pPr>
    </w:p>
    <w:p w:rsidR="00106D5F" w:rsidRPr="00C14627" w:rsidRDefault="00106D5F" w:rsidP="00106D5F">
      <w:pPr>
        <w:numPr>
          <w:ilvl w:val="0"/>
          <w:numId w:val="4"/>
        </w:numPr>
        <w:spacing w:after="0" w:line="240" w:lineRule="auto"/>
        <w:jc w:val="both"/>
        <w:rPr>
          <w:rFonts w:asciiTheme="majorHAnsi" w:eastAsia="Times New Roman" w:hAnsiTheme="majorHAnsi" w:cstheme="majorHAnsi"/>
          <w:u w:val="single"/>
          <w:lang w:eastAsia="sl-SI"/>
        </w:rPr>
      </w:pPr>
      <w:r w:rsidRPr="00C14627">
        <w:rPr>
          <w:rFonts w:asciiTheme="majorHAnsi" w:eastAsia="Times New Roman" w:hAnsiTheme="majorHAnsi" w:cstheme="majorHAnsi"/>
          <w:u w:val="single"/>
          <w:lang w:eastAsia="sl-SI"/>
        </w:rPr>
        <w:t xml:space="preserve">Nakup 2,46 % poslovnega deleža v družbi IMPOL d. o. o. </w:t>
      </w:r>
    </w:p>
    <w:p w:rsidR="00106D5F" w:rsidRPr="00C14627" w:rsidRDefault="00106D5F" w:rsidP="00106D5F">
      <w:pPr>
        <w:spacing w:after="0" w:line="240" w:lineRule="auto"/>
        <w:jc w:val="both"/>
        <w:rPr>
          <w:rFonts w:asciiTheme="majorHAnsi" w:eastAsia="Times New Roman" w:hAnsiTheme="majorHAnsi" w:cstheme="majorHAnsi"/>
          <w:lang w:eastAsia="sl-SI"/>
        </w:rPr>
      </w:pPr>
    </w:p>
    <w:p w:rsidR="00106D5F" w:rsidRPr="00C14627" w:rsidRDefault="00106D5F" w:rsidP="00106D5F">
      <w:pPr>
        <w:spacing w:after="0" w:line="240" w:lineRule="auto"/>
        <w:jc w:val="both"/>
        <w:rPr>
          <w:rFonts w:asciiTheme="majorHAnsi" w:eastAsia="Times New Roman" w:hAnsiTheme="majorHAnsi" w:cstheme="majorHAnsi"/>
          <w:lang w:eastAsia="sl-SI"/>
        </w:rPr>
      </w:pPr>
      <w:r w:rsidRPr="00C14627">
        <w:rPr>
          <w:rFonts w:asciiTheme="majorHAnsi" w:eastAsia="Times New Roman" w:hAnsiTheme="majorHAnsi" w:cstheme="majorHAnsi"/>
          <w:lang w:eastAsia="sl-SI"/>
        </w:rPr>
        <w:t>Predlog sklepa št. 6</w:t>
      </w:r>
    </w:p>
    <w:p w:rsidR="00106D5F" w:rsidRPr="00C14627" w:rsidRDefault="00106D5F" w:rsidP="00106D5F">
      <w:pPr>
        <w:spacing w:after="0" w:line="240" w:lineRule="auto"/>
        <w:ind w:left="360"/>
        <w:jc w:val="both"/>
        <w:rPr>
          <w:rFonts w:asciiTheme="majorHAnsi" w:eastAsia="Times New Roman" w:hAnsiTheme="majorHAnsi" w:cstheme="majorHAnsi"/>
          <w:lang w:eastAsia="sl-SI"/>
        </w:rPr>
      </w:pPr>
      <w:r w:rsidRPr="00C14627">
        <w:rPr>
          <w:rFonts w:asciiTheme="majorHAnsi" w:eastAsia="Times New Roman" w:hAnsiTheme="majorHAnsi" w:cstheme="majorHAnsi"/>
          <w:lang w:eastAsia="sl-SI"/>
        </w:rPr>
        <w:t>Skupščina družbe daje izvršnima direktorjema soglasje, da se od družbe Upimol 2000</w:t>
      </w:r>
      <w:r w:rsidR="00DE056B" w:rsidRPr="00C14627">
        <w:rPr>
          <w:rFonts w:asciiTheme="majorHAnsi" w:eastAsia="Times New Roman" w:hAnsiTheme="majorHAnsi" w:cstheme="majorHAnsi"/>
          <w:lang w:eastAsia="sl-SI"/>
        </w:rPr>
        <w:t>,</w:t>
      </w:r>
      <w:r w:rsidRPr="00C14627">
        <w:rPr>
          <w:rFonts w:asciiTheme="majorHAnsi" w:eastAsia="Times New Roman" w:hAnsiTheme="majorHAnsi" w:cstheme="majorHAnsi"/>
          <w:lang w:eastAsia="sl-SI"/>
        </w:rPr>
        <w:t xml:space="preserve"> d. o. o.</w:t>
      </w:r>
      <w:r w:rsidR="00DE056B" w:rsidRPr="00C14627">
        <w:rPr>
          <w:rFonts w:asciiTheme="majorHAnsi" w:eastAsia="Times New Roman" w:hAnsiTheme="majorHAnsi" w:cstheme="majorHAnsi"/>
          <w:lang w:eastAsia="sl-SI"/>
        </w:rPr>
        <w:t>,</w:t>
      </w:r>
      <w:r w:rsidRPr="00C14627">
        <w:rPr>
          <w:rFonts w:asciiTheme="majorHAnsi" w:eastAsia="Times New Roman" w:hAnsiTheme="majorHAnsi" w:cstheme="majorHAnsi"/>
          <w:lang w:eastAsia="sl-SI"/>
        </w:rPr>
        <w:t xml:space="preserve"> odkupi njen poslovni delež v družbi IMPOL</w:t>
      </w:r>
      <w:r w:rsidR="00DE056B" w:rsidRPr="00C14627">
        <w:rPr>
          <w:rFonts w:asciiTheme="majorHAnsi" w:eastAsia="Times New Roman" w:hAnsiTheme="majorHAnsi" w:cstheme="majorHAnsi"/>
          <w:lang w:eastAsia="sl-SI"/>
        </w:rPr>
        <w:t>,</w:t>
      </w:r>
      <w:r w:rsidRPr="00C14627">
        <w:rPr>
          <w:rFonts w:asciiTheme="majorHAnsi" w:eastAsia="Times New Roman" w:hAnsiTheme="majorHAnsi" w:cstheme="majorHAnsi"/>
          <w:lang w:eastAsia="sl-SI"/>
        </w:rPr>
        <w:t xml:space="preserve"> d.o.o.</w:t>
      </w:r>
      <w:r w:rsidR="00DE056B" w:rsidRPr="00C14627">
        <w:rPr>
          <w:rFonts w:asciiTheme="majorHAnsi" w:eastAsia="Times New Roman" w:hAnsiTheme="majorHAnsi" w:cstheme="majorHAnsi"/>
          <w:lang w:eastAsia="sl-SI"/>
        </w:rPr>
        <w:t>,</w:t>
      </w:r>
      <w:r w:rsidRPr="00C14627">
        <w:rPr>
          <w:rFonts w:asciiTheme="majorHAnsi" w:eastAsia="Times New Roman" w:hAnsiTheme="majorHAnsi" w:cstheme="majorHAnsi"/>
          <w:lang w:eastAsia="sl-SI"/>
        </w:rPr>
        <w:t xml:space="preserve"> v višini 2,46 %, ki ga je ta pridobila z osnovnim vložkom v nominalnem znesku 417.083,12 EUR, in sicer za ceno, ki ne sme biti višja od ocenjene vrednosti, ki jo ugotovi neodvisni pooblaščeni cenilec.</w:t>
      </w:r>
    </w:p>
    <w:p w:rsidR="00106D5F" w:rsidRPr="00C14627" w:rsidRDefault="00106D5F" w:rsidP="00106D5F">
      <w:pPr>
        <w:spacing w:after="0" w:line="240" w:lineRule="auto"/>
        <w:ind w:left="426"/>
        <w:jc w:val="both"/>
        <w:rPr>
          <w:rFonts w:asciiTheme="majorHAnsi" w:eastAsia="Times New Roman" w:hAnsiTheme="majorHAnsi" w:cstheme="majorHAnsi"/>
          <w:u w:val="double"/>
          <w:lang w:eastAsia="sl-SI"/>
        </w:rPr>
      </w:pPr>
    </w:p>
    <w:p w:rsidR="00106D5F" w:rsidRPr="00C14627" w:rsidRDefault="00106D5F" w:rsidP="00106D5F">
      <w:pPr>
        <w:numPr>
          <w:ilvl w:val="0"/>
          <w:numId w:val="4"/>
        </w:numPr>
        <w:spacing w:after="0" w:line="240" w:lineRule="auto"/>
        <w:contextualSpacing/>
        <w:jc w:val="both"/>
        <w:rPr>
          <w:rFonts w:asciiTheme="majorHAnsi" w:eastAsia="Calibri" w:hAnsiTheme="majorHAnsi" w:cstheme="majorHAnsi"/>
          <w:u w:val="single"/>
        </w:rPr>
      </w:pPr>
      <w:r w:rsidRPr="00C14627">
        <w:rPr>
          <w:rFonts w:asciiTheme="majorHAnsi" w:eastAsia="Calibri" w:hAnsiTheme="majorHAnsi" w:cstheme="majorHAnsi"/>
          <w:u w:val="single"/>
        </w:rPr>
        <w:t xml:space="preserve">Seznanitev z izvolitvijo člana upravnega odbora s strani PTDSI. </w:t>
      </w:r>
    </w:p>
    <w:p w:rsidR="00106D5F" w:rsidRPr="00C14627" w:rsidRDefault="00106D5F" w:rsidP="00106D5F">
      <w:pPr>
        <w:spacing w:after="0" w:line="276" w:lineRule="auto"/>
        <w:ind w:left="360"/>
        <w:contextualSpacing/>
        <w:jc w:val="both"/>
        <w:rPr>
          <w:rFonts w:asciiTheme="majorHAnsi" w:eastAsia="Calibri" w:hAnsiTheme="majorHAnsi" w:cstheme="majorHAnsi"/>
          <w:u w:val="single"/>
        </w:rPr>
      </w:pPr>
    </w:p>
    <w:p w:rsidR="00106D5F" w:rsidRPr="00C14627" w:rsidRDefault="00106D5F" w:rsidP="00106D5F">
      <w:pPr>
        <w:spacing w:after="0" w:line="276" w:lineRule="auto"/>
        <w:ind w:left="360"/>
        <w:contextualSpacing/>
        <w:jc w:val="both"/>
        <w:rPr>
          <w:rFonts w:asciiTheme="majorHAnsi" w:eastAsia="Calibri" w:hAnsiTheme="majorHAnsi" w:cstheme="majorHAnsi"/>
        </w:rPr>
      </w:pPr>
      <w:r w:rsidRPr="00C14627">
        <w:rPr>
          <w:rFonts w:asciiTheme="majorHAnsi" w:eastAsia="Calibri" w:hAnsiTheme="majorHAnsi" w:cstheme="majorHAnsi"/>
        </w:rPr>
        <w:t>Skupščina se seznani, da je bil s strani PTDSI za petega člana upravnega odbora z dne 28.</w:t>
      </w:r>
      <w:r w:rsidR="00DE056B" w:rsidRPr="00C14627">
        <w:rPr>
          <w:rFonts w:asciiTheme="majorHAnsi" w:eastAsia="Calibri" w:hAnsiTheme="majorHAnsi" w:cstheme="majorHAnsi"/>
        </w:rPr>
        <w:t xml:space="preserve"> </w:t>
      </w:r>
      <w:r w:rsidRPr="00C14627">
        <w:rPr>
          <w:rFonts w:asciiTheme="majorHAnsi" w:eastAsia="Calibri" w:hAnsiTheme="majorHAnsi" w:cstheme="majorHAnsi"/>
        </w:rPr>
        <w:t>1.</w:t>
      </w:r>
      <w:r w:rsidR="00DE056B" w:rsidRPr="00C14627">
        <w:rPr>
          <w:rFonts w:asciiTheme="majorHAnsi" w:eastAsia="Calibri" w:hAnsiTheme="majorHAnsi" w:cstheme="majorHAnsi"/>
        </w:rPr>
        <w:t xml:space="preserve"> </w:t>
      </w:r>
      <w:r w:rsidRPr="00C14627">
        <w:rPr>
          <w:rFonts w:asciiTheme="majorHAnsi" w:eastAsia="Calibri" w:hAnsiTheme="majorHAnsi" w:cstheme="majorHAnsi"/>
        </w:rPr>
        <w:t>2019 za dvoletno obdobje imenovan Bojan Gril.</w:t>
      </w:r>
    </w:p>
    <w:p w:rsidR="00106D5F" w:rsidRPr="00C14627" w:rsidRDefault="00106D5F" w:rsidP="00106D5F">
      <w:pPr>
        <w:spacing w:after="0" w:line="240" w:lineRule="auto"/>
        <w:ind w:left="426"/>
        <w:jc w:val="both"/>
        <w:rPr>
          <w:rFonts w:asciiTheme="majorHAnsi" w:eastAsia="Times New Roman" w:hAnsiTheme="majorHAnsi" w:cstheme="majorHAnsi"/>
          <w:u w:val="double"/>
          <w:lang w:eastAsia="sl-SI"/>
        </w:rPr>
      </w:pPr>
    </w:p>
    <w:p w:rsidR="00106D5F" w:rsidRPr="00C14627" w:rsidRDefault="00106D5F" w:rsidP="00106D5F">
      <w:pPr>
        <w:spacing w:after="0" w:line="240" w:lineRule="auto"/>
        <w:jc w:val="both"/>
        <w:rPr>
          <w:rFonts w:asciiTheme="majorHAnsi" w:eastAsia="Times New Roman" w:hAnsiTheme="majorHAnsi" w:cstheme="majorHAnsi"/>
          <w:lang w:eastAsia="sl-SI"/>
        </w:rPr>
      </w:pPr>
      <w:r w:rsidRPr="00C14627">
        <w:rPr>
          <w:rFonts w:asciiTheme="majorHAnsi" w:eastAsia="Times New Roman" w:hAnsiTheme="majorHAnsi" w:cstheme="majorHAnsi"/>
          <w:u w:val="double"/>
          <w:lang w:eastAsia="sl-SI"/>
        </w:rPr>
        <w:t>Informacije za delničarje</w:t>
      </w:r>
    </w:p>
    <w:p w:rsidR="00106D5F" w:rsidRPr="00C14627" w:rsidRDefault="00106D5F" w:rsidP="00106D5F">
      <w:pPr>
        <w:spacing w:after="0" w:line="240" w:lineRule="auto"/>
        <w:jc w:val="both"/>
        <w:rPr>
          <w:rFonts w:asciiTheme="majorHAnsi" w:eastAsia="Times New Roman" w:hAnsiTheme="majorHAnsi" w:cstheme="majorHAnsi"/>
          <w:i/>
          <w:lang w:eastAsia="sl-SI"/>
        </w:rPr>
      </w:pPr>
    </w:p>
    <w:p w:rsidR="00106D5F" w:rsidRPr="00C14627" w:rsidRDefault="00106D5F" w:rsidP="00106D5F">
      <w:pPr>
        <w:spacing w:after="0" w:line="240" w:lineRule="auto"/>
        <w:jc w:val="both"/>
        <w:rPr>
          <w:rFonts w:asciiTheme="majorHAnsi" w:eastAsia="Times New Roman" w:hAnsiTheme="majorHAnsi" w:cstheme="majorHAnsi"/>
          <w:i/>
          <w:lang w:eastAsia="sl-SI"/>
        </w:rPr>
      </w:pPr>
      <w:r w:rsidRPr="00C14627">
        <w:rPr>
          <w:rFonts w:asciiTheme="majorHAnsi" w:eastAsia="Times New Roman" w:hAnsiTheme="majorHAnsi" w:cstheme="majorHAnsi"/>
          <w:i/>
          <w:lang w:eastAsia="sl-SI"/>
        </w:rPr>
        <w:t>Pogoji za udeležbo na skupščini in uresničevanje glasovalne pravice</w:t>
      </w:r>
    </w:p>
    <w:p w:rsidR="00106D5F" w:rsidRPr="00C14627" w:rsidRDefault="00106D5F" w:rsidP="00106D5F">
      <w:pPr>
        <w:numPr>
          <w:ilvl w:val="1"/>
          <w:numId w:val="5"/>
        </w:numPr>
        <w:spacing w:after="0" w:line="240" w:lineRule="auto"/>
        <w:jc w:val="both"/>
        <w:rPr>
          <w:rFonts w:asciiTheme="majorHAnsi" w:eastAsia="Times New Roman" w:hAnsiTheme="majorHAnsi" w:cstheme="majorHAnsi"/>
          <w:lang w:eastAsia="sl-SI"/>
        </w:rPr>
      </w:pPr>
      <w:r w:rsidRPr="00C14627">
        <w:rPr>
          <w:rFonts w:asciiTheme="majorHAnsi" w:eastAsia="Times New Roman" w:hAnsiTheme="majorHAnsi" w:cstheme="majorHAnsi"/>
          <w:lang w:eastAsia="sl-SI"/>
        </w:rPr>
        <w:t>Pravico do udeležbe in glasovanja na skupščini imajo delničarji oziroma njihovi zastopniki, ki najkasneje štiri dni pred dnevom skupščine, to je do vključno 15. julija 2019, prijavijo svojo udeležbo na sedežu uprave družbe in so konec četrtega dne pred dnevom skupščine, to je 15. julija 2019,  tudi vpisani v delniško knjigo. Prijave na skupščino ni mogoče podati z uporabo elektronskih sredstev.</w:t>
      </w:r>
    </w:p>
    <w:p w:rsidR="00106D5F" w:rsidRPr="00C14627" w:rsidRDefault="00106D5F" w:rsidP="00106D5F">
      <w:pPr>
        <w:spacing w:after="0" w:line="240" w:lineRule="auto"/>
        <w:jc w:val="both"/>
        <w:rPr>
          <w:rFonts w:asciiTheme="majorHAnsi" w:eastAsia="Times New Roman" w:hAnsiTheme="majorHAnsi" w:cstheme="majorHAnsi"/>
          <w:i/>
          <w:lang w:eastAsia="sl-SI"/>
        </w:rPr>
      </w:pPr>
    </w:p>
    <w:p w:rsidR="00106D5F" w:rsidRPr="00C14627" w:rsidRDefault="00106D5F" w:rsidP="00106D5F">
      <w:pPr>
        <w:spacing w:after="0" w:line="240" w:lineRule="auto"/>
        <w:jc w:val="both"/>
        <w:rPr>
          <w:rFonts w:asciiTheme="majorHAnsi" w:eastAsia="Times New Roman" w:hAnsiTheme="majorHAnsi" w:cstheme="majorHAnsi"/>
          <w:i/>
          <w:lang w:eastAsia="sl-SI"/>
        </w:rPr>
      </w:pPr>
      <w:r w:rsidRPr="00C14627">
        <w:rPr>
          <w:rFonts w:asciiTheme="majorHAnsi" w:eastAsia="Times New Roman" w:hAnsiTheme="majorHAnsi" w:cstheme="majorHAnsi"/>
          <w:i/>
          <w:lang w:eastAsia="sl-SI"/>
        </w:rPr>
        <w:t>Dopolnitev dnevnega reda in predlogi delničarjev</w:t>
      </w:r>
    </w:p>
    <w:p w:rsidR="00106D5F" w:rsidRPr="00C14627" w:rsidRDefault="00106D5F" w:rsidP="00106D5F">
      <w:pPr>
        <w:numPr>
          <w:ilvl w:val="1"/>
          <w:numId w:val="5"/>
        </w:numPr>
        <w:spacing w:after="0" w:line="240" w:lineRule="auto"/>
        <w:jc w:val="both"/>
        <w:rPr>
          <w:rFonts w:asciiTheme="majorHAnsi" w:eastAsia="Times New Roman" w:hAnsiTheme="majorHAnsi" w:cstheme="majorHAnsi"/>
          <w:lang w:eastAsia="sl-SI"/>
        </w:rPr>
      </w:pPr>
      <w:r w:rsidRPr="00C14627">
        <w:rPr>
          <w:rFonts w:asciiTheme="majorHAnsi" w:eastAsia="Times New Roman" w:hAnsiTheme="majorHAnsi" w:cstheme="majorHAnsi"/>
          <w:lang w:eastAsia="sl-SI"/>
        </w:rPr>
        <w:t xml:space="preserve">Delničarji, katerih skupni deleži dosegajo eno dvajsetino osnovnega kapitala (53.339 delnic), lahko najpozneje sedem dni po objavi sklica te skupščine pisno zahtevajo dodatno točko dnevnega reda. Zahtevi morajo v pisni obliki priložiti predlog sklepa, o katerem naj skupščina odloča, ali če skupščina pri posamezni točki dnevnega reda ne sprejeme sklepa, obrazložitev točke dnevnega reda. Upravni odbor bo v skladu s 3. odst. 298. člena ZGD-1 objavil tiste dodatne točke dnevnega reda, glede katerih bodo delničarji zahteve poslali družbi najpozneje sedem dni po objavi tega sklica skupščine. Dodatne točke dnevnega reda lahko delničarji posredujejo tudi po elektronski pošti na elektronska naslova </w:t>
      </w:r>
      <w:hyperlink r:id="rId5" w:history="1">
        <w:r w:rsidRPr="00C14627">
          <w:rPr>
            <w:rFonts w:asciiTheme="majorHAnsi" w:eastAsia="Calibri" w:hAnsiTheme="majorHAnsi" w:cstheme="majorHAnsi"/>
            <w:color w:val="0000FF"/>
            <w:u w:val="single"/>
            <w:lang w:eastAsia="sl-SI"/>
          </w:rPr>
          <w:t>vlado.leskovar@impol.si</w:t>
        </w:r>
      </w:hyperlink>
      <w:r w:rsidRPr="00C14627">
        <w:rPr>
          <w:rFonts w:asciiTheme="majorHAnsi" w:eastAsia="Times New Roman" w:hAnsiTheme="majorHAnsi" w:cstheme="majorHAnsi"/>
          <w:lang w:eastAsia="sl-SI"/>
        </w:rPr>
        <w:t xml:space="preserve"> ali na </w:t>
      </w:r>
      <w:hyperlink r:id="rId6" w:history="1">
        <w:r w:rsidRPr="00C14627">
          <w:rPr>
            <w:rFonts w:asciiTheme="majorHAnsi" w:eastAsia="Calibri" w:hAnsiTheme="majorHAnsi" w:cstheme="majorHAnsi"/>
            <w:color w:val="0000FF"/>
            <w:u w:val="single"/>
            <w:lang w:eastAsia="sl-SI"/>
          </w:rPr>
          <w:t>irena.sela@impol.si</w:t>
        </w:r>
      </w:hyperlink>
      <w:r w:rsidRPr="00C14627">
        <w:rPr>
          <w:rFonts w:asciiTheme="majorHAnsi" w:eastAsia="Times New Roman" w:hAnsiTheme="majorHAnsi" w:cstheme="majorHAnsi"/>
          <w:lang w:eastAsia="sl-SI"/>
        </w:rPr>
        <w:t xml:space="preserve">. </w:t>
      </w:r>
    </w:p>
    <w:p w:rsidR="00106D5F" w:rsidRPr="00C14627" w:rsidRDefault="00106D5F" w:rsidP="00106D5F">
      <w:pPr>
        <w:numPr>
          <w:ilvl w:val="1"/>
          <w:numId w:val="5"/>
        </w:numPr>
        <w:spacing w:after="0" w:line="240" w:lineRule="auto"/>
        <w:jc w:val="both"/>
        <w:rPr>
          <w:rFonts w:asciiTheme="majorHAnsi" w:eastAsia="Times New Roman" w:hAnsiTheme="majorHAnsi" w:cstheme="majorHAnsi"/>
          <w:lang w:eastAsia="sl-SI"/>
        </w:rPr>
      </w:pPr>
      <w:bookmarkStart w:id="1" w:name="_Ref258932178"/>
      <w:r w:rsidRPr="00C14627">
        <w:rPr>
          <w:rFonts w:asciiTheme="majorHAnsi" w:eastAsia="Times New Roman" w:hAnsiTheme="majorHAnsi" w:cstheme="majorHAnsi"/>
          <w:lang w:eastAsia="sl-SI"/>
        </w:rPr>
        <w:t xml:space="preserve">Delničarji lahko k vsaki točki dnevnega reda v pisni obliki dajejo predloge sklepov skladno s 300. členom ZGD-1 (v nadaljevanju nasprotne predloge) in 301. členom ZGD-1 (v nadaljevanju volilne predloge). Nasprotni oziroma volilni predlog se objavi in sporoči na način iz 296. člena ZGD-1 le, če bo delničar v sedmih dneh po objavi sklica te skupščine družbi poslal razumno utemeljen predlog in pri tem sporočil, da bo na skupščini ugovarjal predlogu organa vodenja ali nadzora in da bo druge delničarje pripravil do tega, da bodo glasovali za njegov predlog. Ne glede na navedeno volilnega predloga delničarju na podlagi 301. člena ZGD-1 ni potrebno utemeljiti. Predloge sklepov iz 300. člena ZGD-1 lahko delničarji posredujejo tudi na elektronska naslova </w:t>
      </w:r>
      <w:hyperlink r:id="rId7" w:history="1">
        <w:r w:rsidRPr="00C14627">
          <w:rPr>
            <w:rFonts w:asciiTheme="majorHAnsi" w:eastAsia="Calibri" w:hAnsiTheme="majorHAnsi" w:cstheme="majorHAnsi"/>
            <w:color w:val="0000FF"/>
            <w:u w:val="single"/>
            <w:lang w:eastAsia="sl-SI"/>
          </w:rPr>
          <w:t>vlado.leskovar@impol.si</w:t>
        </w:r>
      </w:hyperlink>
      <w:r w:rsidRPr="00C14627">
        <w:rPr>
          <w:rFonts w:asciiTheme="majorHAnsi" w:eastAsia="Times New Roman" w:hAnsiTheme="majorHAnsi" w:cstheme="majorHAnsi"/>
          <w:lang w:eastAsia="sl-SI"/>
        </w:rPr>
        <w:t xml:space="preserve"> ali na </w:t>
      </w:r>
      <w:hyperlink r:id="rId8" w:history="1">
        <w:r w:rsidRPr="00C14627">
          <w:rPr>
            <w:rFonts w:asciiTheme="majorHAnsi" w:eastAsia="Calibri" w:hAnsiTheme="majorHAnsi" w:cstheme="majorHAnsi"/>
            <w:color w:val="0000FF"/>
            <w:u w:val="single"/>
            <w:lang w:eastAsia="sl-SI"/>
          </w:rPr>
          <w:t>irena.sela@impol.si</w:t>
        </w:r>
      </w:hyperlink>
      <w:r w:rsidRPr="00C14627">
        <w:rPr>
          <w:rFonts w:asciiTheme="majorHAnsi" w:eastAsia="Times New Roman" w:hAnsiTheme="majorHAnsi" w:cstheme="majorHAnsi"/>
          <w:lang w:eastAsia="sl-SI"/>
        </w:rPr>
        <w:t>.</w:t>
      </w:r>
    </w:p>
    <w:p w:rsidR="00106D5F" w:rsidRPr="00C14627" w:rsidRDefault="00106D5F" w:rsidP="00106D5F">
      <w:pPr>
        <w:numPr>
          <w:ilvl w:val="1"/>
          <w:numId w:val="5"/>
        </w:numPr>
        <w:spacing w:after="0" w:line="240" w:lineRule="auto"/>
        <w:ind w:left="709"/>
        <w:jc w:val="both"/>
        <w:rPr>
          <w:rFonts w:asciiTheme="majorHAnsi" w:eastAsia="Times New Roman" w:hAnsiTheme="majorHAnsi" w:cstheme="majorHAnsi"/>
          <w:lang w:eastAsia="sl-SI"/>
        </w:rPr>
      </w:pPr>
      <w:r w:rsidRPr="00C14627">
        <w:rPr>
          <w:rFonts w:asciiTheme="majorHAnsi" w:eastAsia="Times New Roman" w:hAnsiTheme="majorHAnsi" w:cstheme="majorHAnsi"/>
          <w:lang w:eastAsia="sl-SI"/>
        </w:rPr>
        <w:t xml:space="preserve">Zahteve za dodatno točko dnevnega reda in predlogi sklepov ter volilni predlogi, ki se družbi sporočijo po elektronski pošti, morajo biti posredovani v skenirani obliki kot priponka, vsebovati pa morajo lastnoročni podpis fizične osebe, pri pravnih osebah pa lastnoročni podpis zastopnika in žig oziroma pečat pravne osebe, če ga uporablja. Družba ima pravico do preveritve identitete </w:t>
      </w:r>
      <w:r w:rsidRPr="00C14627">
        <w:rPr>
          <w:rFonts w:asciiTheme="majorHAnsi" w:eastAsia="Times New Roman" w:hAnsiTheme="majorHAnsi" w:cstheme="majorHAnsi"/>
          <w:lang w:eastAsia="sl-SI"/>
        </w:rPr>
        <w:lastRenderedPageBreak/>
        <w:t>delničarja oziroma pooblastitelja, ki posreduje zahtevo ali predlog po elektronski pošti ter avtentičnost njegovega podpisa.</w:t>
      </w:r>
    </w:p>
    <w:p w:rsidR="00106D5F" w:rsidRPr="00C14627" w:rsidRDefault="00106D5F" w:rsidP="00106D5F">
      <w:pPr>
        <w:spacing w:after="0" w:line="240" w:lineRule="auto"/>
        <w:jc w:val="both"/>
        <w:rPr>
          <w:rFonts w:asciiTheme="majorHAnsi" w:eastAsia="Times New Roman" w:hAnsiTheme="majorHAnsi" w:cstheme="majorHAnsi"/>
          <w:i/>
          <w:lang w:eastAsia="sl-SI"/>
        </w:rPr>
      </w:pPr>
    </w:p>
    <w:p w:rsidR="00106D5F" w:rsidRPr="00C14627" w:rsidRDefault="00106D5F" w:rsidP="00106D5F">
      <w:pPr>
        <w:spacing w:after="0" w:line="240" w:lineRule="auto"/>
        <w:jc w:val="both"/>
        <w:rPr>
          <w:rFonts w:asciiTheme="majorHAnsi" w:eastAsia="Times New Roman" w:hAnsiTheme="majorHAnsi" w:cstheme="majorHAnsi"/>
          <w:i/>
          <w:lang w:eastAsia="sl-SI"/>
        </w:rPr>
      </w:pPr>
      <w:r w:rsidRPr="00C14627">
        <w:rPr>
          <w:rFonts w:asciiTheme="majorHAnsi" w:eastAsia="Times New Roman" w:hAnsiTheme="majorHAnsi" w:cstheme="majorHAnsi"/>
          <w:i/>
          <w:lang w:eastAsia="sl-SI"/>
        </w:rPr>
        <w:t>Dostop do gradiva za skupščino, predlogov sklepov z obrazložitvijo in informacij v zvezi s skupščino</w:t>
      </w:r>
    </w:p>
    <w:p w:rsidR="00106D5F" w:rsidRPr="00C14627" w:rsidRDefault="00106D5F" w:rsidP="00106D5F">
      <w:pPr>
        <w:numPr>
          <w:ilvl w:val="1"/>
          <w:numId w:val="5"/>
        </w:numPr>
        <w:spacing w:after="0" w:line="240" w:lineRule="auto"/>
        <w:jc w:val="both"/>
        <w:rPr>
          <w:rFonts w:asciiTheme="majorHAnsi" w:eastAsia="Times New Roman" w:hAnsiTheme="majorHAnsi" w:cstheme="majorHAnsi"/>
          <w:lang w:eastAsia="sl-SI"/>
        </w:rPr>
      </w:pPr>
      <w:r w:rsidRPr="00C14627">
        <w:rPr>
          <w:rFonts w:asciiTheme="majorHAnsi" w:eastAsia="Times New Roman" w:hAnsiTheme="majorHAnsi" w:cstheme="majorHAnsi"/>
          <w:lang w:eastAsia="sl-SI"/>
        </w:rPr>
        <w:t>Predlogi sklepov z navedbo predlagateljev, obrazložitve točk dnevnega reda, Letno poročilo Impol 2000</w:t>
      </w:r>
      <w:r w:rsidR="00DE056B" w:rsidRPr="00C14627">
        <w:rPr>
          <w:rFonts w:asciiTheme="majorHAnsi" w:eastAsia="Times New Roman" w:hAnsiTheme="majorHAnsi" w:cstheme="majorHAnsi"/>
          <w:lang w:eastAsia="sl-SI"/>
        </w:rPr>
        <w:t>,</w:t>
      </w:r>
      <w:r w:rsidRPr="00C14627">
        <w:rPr>
          <w:rFonts w:asciiTheme="majorHAnsi" w:eastAsia="Times New Roman" w:hAnsiTheme="majorHAnsi" w:cstheme="majorHAnsi"/>
          <w:lang w:eastAsia="sl-SI"/>
        </w:rPr>
        <w:t xml:space="preserve"> d.</w:t>
      </w:r>
      <w:r w:rsidR="00DE056B" w:rsidRPr="00C14627">
        <w:rPr>
          <w:rFonts w:asciiTheme="majorHAnsi" w:eastAsia="Times New Roman" w:hAnsiTheme="majorHAnsi" w:cstheme="majorHAnsi"/>
          <w:lang w:eastAsia="sl-SI"/>
        </w:rPr>
        <w:t xml:space="preserve"> </w:t>
      </w:r>
      <w:r w:rsidRPr="00C14627">
        <w:rPr>
          <w:rFonts w:asciiTheme="majorHAnsi" w:eastAsia="Times New Roman" w:hAnsiTheme="majorHAnsi" w:cstheme="majorHAnsi"/>
          <w:lang w:eastAsia="sl-SI"/>
        </w:rPr>
        <w:t>d.</w:t>
      </w:r>
      <w:r w:rsidR="00DE056B" w:rsidRPr="00C14627">
        <w:rPr>
          <w:rFonts w:asciiTheme="majorHAnsi" w:eastAsia="Times New Roman" w:hAnsiTheme="majorHAnsi" w:cstheme="majorHAnsi"/>
          <w:lang w:eastAsia="sl-SI"/>
        </w:rPr>
        <w:t>,</w:t>
      </w:r>
      <w:r w:rsidRPr="00C14627">
        <w:rPr>
          <w:rFonts w:asciiTheme="majorHAnsi" w:eastAsia="Times New Roman" w:hAnsiTheme="majorHAnsi" w:cstheme="majorHAnsi"/>
          <w:lang w:eastAsia="sl-SI"/>
        </w:rPr>
        <w:t xml:space="preserve"> za leto 2018, konsolidirano </w:t>
      </w:r>
      <w:r w:rsidR="00DE056B" w:rsidRPr="00C14627">
        <w:rPr>
          <w:rFonts w:asciiTheme="majorHAnsi" w:eastAsia="Times New Roman" w:hAnsiTheme="majorHAnsi" w:cstheme="majorHAnsi"/>
          <w:lang w:eastAsia="sl-SI"/>
        </w:rPr>
        <w:t>L</w:t>
      </w:r>
      <w:r w:rsidRPr="00C14627">
        <w:rPr>
          <w:rFonts w:asciiTheme="majorHAnsi" w:eastAsia="Times New Roman" w:hAnsiTheme="majorHAnsi" w:cstheme="majorHAnsi"/>
          <w:lang w:eastAsia="sl-SI"/>
        </w:rPr>
        <w:t xml:space="preserve">etno poročilo </w:t>
      </w:r>
      <w:r w:rsidR="00DE056B" w:rsidRPr="00C14627">
        <w:rPr>
          <w:rFonts w:asciiTheme="majorHAnsi" w:eastAsia="Times New Roman" w:hAnsiTheme="majorHAnsi" w:cstheme="majorHAnsi"/>
          <w:lang w:eastAsia="sl-SI"/>
        </w:rPr>
        <w:t>s</w:t>
      </w:r>
      <w:r w:rsidRPr="00C14627">
        <w:rPr>
          <w:rFonts w:asciiTheme="majorHAnsi" w:eastAsia="Times New Roman" w:hAnsiTheme="majorHAnsi" w:cstheme="majorHAnsi"/>
          <w:lang w:eastAsia="sl-SI"/>
        </w:rPr>
        <w:t xml:space="preserve">kupine Impol za leto 2018 s poročilom neodvisnega revizorja in poročilom upravnega odbora o sprejetju letnega poročila in vso morebitno drugo gradivo za skupščino so od objave tega sklica brezplačno na vpogled v družbi Simfin, d. o. o., Partizanska ulica 38, Slovenska Bistrica, ki vodi računovodstvo družbe Impol 2000, d. d., in sicer vsak delovni dan v njenem delovnem času. Sklic skupščine in del gradiv je objavljenih tudi na spletni strani družbe </w:t>
      </w:r>
      <w:hyperlink r:id="rId9" w:history="1">
        <w:r w:rsidRPr="00C14627">
          <w:rPr>
            <w:rFonts w:asciiTheme="majorHAnsi" w:eastAsia="Calibri" w:hAnsiTheme="majorHAnsi" w:cstheme="majorHAnsi"/>
            <w:color w:val="0000FF"/>
            <w:u w:val="single"/>
            <w:lang w:eastAsia="sl-SI"/>
          </w:rPr>
          <w:t>www.impol.si</w:t>
        </w:r>
      </w:hyperlink>
      <w:r w:rsidRPr="00C14627">
        <w:rPr>
          <w:rFonts w:asciiTheme="majorHAnsi" w:eastAsia="Calibri" w:hAnsiTheme="majorHAnsi" w:cstheme="majorHAnsi"/>
          <w:color w:val="0000FF"/>
          <w:u w:val="single"/>
          <w:lang w:eastAsia="sl-SI"/>
        </w:rPr>
        <w:t>.</w:t>
      </w:r>
      <w:r w:rsidRPr="00C14627">
        <w:rPr>
          <w:rFonts w:asciiTheme="majorHAnsi" w:eastAsia="Times New Roman" w:hAnsiTheme="majorHAnsi" w:cstheme="majorHAnsi"/>
          <w:lang w:eastAsia="sl-SI"/>
        </w:rPr>
        <w:t xml:space="preserve"> Sklic skupščine in obrazložitve predlogov sklepov so objavljene tudi na spletnih straneh Ljubljanske borze d.d. (</w:t>
      </w:r>
      <w:hyperlink r:id="rId10" w:history="1">
        <w:r w:rsidRPr="00C14627">
          <w:rPr>
            <w:rFonts w:asciiTheme="majorHAnsi" w:eastAsia="Calibri" w:hAnsiTheme="majorHAnsi" w:cstheme="majorHAnsi"/>
            <w:color w:val="0000FF"/>
            <w:u w:val="single"/>
            <w:lang w:eastAsia="sl-SI"/>
          </w:rPr>
          <w:t>http://seonet.ljse.si</w:t>
        </w:r>
      </w:hyperlink>
      <w:r w:rsidRPr="00C14627">
        <w:rPr>
          <w:rFonts w:asciiTheme="majorHAnsi" w:eastAsia="Times New Roman" w:hAnsiTheme="majorHAnsi" w:cstheme="majorHAnsi"/>
          <w:lang w:eastAsia="sl-SI"/>
        </w:rPr>
        <w:t>), kjer družba objavlja tudi vse nadzorovane informacije.</w:t>
      </w:r>
    </w:p>
    <w:p w:rsidR="00106D5F" w:rsidRPr="00C14627" w:rsidRDefault="00106D5F" w:rsidP="00106D5F">
      <w:pPr>
        <w:spacing w:after="0" w:line="240" w:lineRule="auto"/>
        <w:jc w:val="both"/>
        <w:rPr>
          <w:rFonts w:asciiTheme="majorHAnsi" w:eastAsia="Times New Roman" w:hAnsiTheme="majorHAnsi" w:cstheme="majorHAnsi"/>
          <w:i/>
          <w:lang w:eastAsia="sl-SI"/>
        </w:rPr>
      </w:pPr>
    </w:p>
    <w:p w:rsidR="0049225C" w:rsidRPr="00C14627" w:rsidRDefault="0049225C" w:rsidP="00106D5F">
      <w:pPr>
        <w:spacing w:after="0" w:line="240" w:lineRule="auto"/>
        <w:jc w:val="both"/>
        <w:rPr>
          <w:rFonts w:asciiTheme="majorHAnsi" w:eastAsia="Times New Roman" w:hAnsiTheme="majorHAnsi" w:cstheme="majorHAnsi"/>
          <w:i/>
          <w:lang w:eastAsia="sl-SI"/>
        </w:rPr>
      </w:pPr>
    </w:p>
    <w:p w:rsidR="0049225C" w:rsidRPr="00C14627" w:rsidRDefault="0049225C" w:rsidP="00106D5F">
      <w:pPr>
        <w:spacing w:after="0" w:line="240" w:lineRule="auto"/>
        <w:jc w:val="both"/>
        <w:rPr>
          <w:rFonts w:asciiTheme="majorHAnsi" w:eastAsia="Times New Roman" w:hAnsiTheme="majorHAnsi" w:cstheme="majorHAnsi"/>
          <w:i/>
          <w:lang w:eastAsia="sl-SI"/>
        </w:rPr>
      </w:pPr>
    </w:p>
    <w:p w:rsidR="00106D5F" w:rsidRPr="00C14627" w:rsidRDefault="00106D5F" w:rsidP="00106D5F">
      <w:pPr>
        <w:spacing w:after="0" w:line="240" w:lineRule="auto"/>
        <w:jc w:val="both"/>
        <w:rPr>
          <w:rFonts w:asciiTheme="majorHAnsi" w:eastAsia="Times New Roman" w:hAnsiTheme="majorHAnsi" w:cstheme="majorHAnsi"/>
          <w:i/>
          <w:lang w:eastAsia="sl-SI"/>
        </w:rPr>
      </w:pPr>
      <w:r w:rsidRPr="00C14627">
        <w:rPr>
          <w:rFonts w:asciiTheme="majorHAnsi" w:eastAsia="Times New Roman" w:hAnsiTheme="majorHAnsi" w:cstheme="majorHAnsi"/>
          <w:i/>
          <w:lang w:eastAsia="sl-SI"/>
        </w:rPr>
        <w:t xml:space="preserve">Delničarjeva pravica do obveščenosti </w:t>
      </w:r>
    </w:p>
    <w:p w:rsidR="00106D5F" w:rsidRPr="00C14627" w:rsidRDefault="00106D5F" w:rsidP="00106D5F">
      <w:pPr>
        <w:numPr>
          <w:ilvl w:val="1"/>
          <w:numId w:val="5"/>
        </w:numPr>
        <w:spacing w:after="0" w:line="240" w:lineRule="auto"/>
        <w:jc w:val="both"/>
        <w:rPr>
          <w:rFonts w:asciiTheme="majorHAnsi" w:eastAsia="Times New Roman" w:hAnsiTheme="majorHAnsi" w:cstheme="majorHAnsi"/>
          <w:lang w:eastAsia="sl-SI"/>
        </w:rPr>
      </w:pPr>
      <w:r w:rsidRPr="00C14627">
        <w:rPr>
          <w:rFonts w:asciiTheme="majorHAnsi" w:eastAsia="Times New Roman" w:hAnsiTheme="majorHAnsi" w:cstheme="majorHAnsi"/>
          <w:lang w:eastAsia="sl-SI"/>
        </w:rPr>
        <w:t xml:space="preserve">Na skupščini bodo prisotni tudi upravni odbor </w:t>
      </w:r>
      <w:r w:rsidR="00DE056B" w:rsidRPr="00C14627">
        <w:rPr>
          <w:rFonts w:asciiTheme="majorHAnsi" w:eastAsia="Times New Roman" w:hAnsiTheme="majorHAnsi" w:cstheme="majorHAnsi"/>
          <w:lang w:eastAsia="sl-SI"/>
        </w:rPr>
        <w:t>in</w:t>
      </w:r>
      <w:r w:rsidRPr="00C14627">
        <w:rPr>
          <w:rFonts w:asciiTheme="majorHAnsi" w:eastAsia="Times New Roman" w:hAnsiTheme="majorHAnsi" w:cstheme="majorHAnsi"/>
          <w:lang w:eastAsia="sl-SI"/>
        </w:rPr>
        <w:t xml:space="preserve"> izvršna direktorja družbe, ki bodo delničarjem na skupščini zagotavljali izpolnjevanje njihove pravice do obveščenosti skladno s 305. členom ZGD-1.</w:t>
      </w:r>
    </w:p>
    <w:p w:rsidR="00106D5F" w:rsidRPr="00C14627" w:rsidRDefault="00106D5F" w:rsidP="00106D5F">
      <w:pPr>
        <w:spacing w:after="0" w:line="240" w:lineRule="auto"/>
        <w:jc w:val="both"/>
        <w:rPr>
          <w:rFonts w:asciiTheme="majorHAnsi" w:eastAsia="Times New Roman" w:hAnsiTheme="majorHAnsi" w:cstheme="majorHAnsi"/>
          <w:i/>
          <w:lang w:eastAsia="sl-SI"/>
        </w:rPr>
      </w:pPr>
    </w:p>
    <w:p w:rsidR="00106D5F" w:rsidRPr="00C14627" w:rsidRDefault="00106D5F" w:rsidP="00106D5F">
      <w:pPr>
        <w:spacing w:after="0" w:line="240" w:lineRule="auto"/>
        <w:jc w:val="both"/>
        <w:rPr>
          <w:rFonts w:asciiTheme="majorHAnsi" w:eastAsia="Times New Roman" w:hAnsiTheme="majorHAnsi" w:cstheme="majorHAnsi"/>
          <w:i/>
          <w:lang w:eastAsia="sl-SI"/>
        </w:rPr>
      </w:pPr>
      <w:r w:rsidRPr="00C14627">
        <w:rPr>
          <w:rFonts w:asciiTheme="majorHAnsi" w:eastAsia="Times New Roman" w:hAnsiTheme="majorHAnsi" w:cstheme="majorHAnsi"/>
          <w:i/>
          <w:lang w:eastAsia="sl-SI"/>
        </w:rPr>
        <w:t>Informacija o postopku uresničevanja pravice po pooblaščencu</w:t>
      </w:r>
    </w:p>
    <w:p w:rsidR="00106D5F" w:rsidRPr="00C14627" w:rsidRDefault="00106D5F" w:rsidP="00106D5F">
      <w:pPr>
        <w:numPr>
          <w:ilvl w:val="1"/>
          <w:numId w:val="5"/>
        </w:numPr>
        <w:spacing w:after="0" w:line="240" w:lineRule="auto"/>
        <w:jc w:val="both"/>
        <w:rPr>
          <w:rFonts w:asciiTheme="majorHAnsi" w:eastAsia="Times New Roman" w:hAnsiTheme="majorHAnsi" w:cstheme="majorHAnsi"/>
          <w:lang w:eastAsia="sl-SI"/>
        </w:rPr>
      </w:pPr>
      <w:r w:rsidRPr="00C14627">
        <w:rPr>
          <w:rFonts w:asciiTheme="majorHAnsi" w:eastAsia="Times New Roman" w:hAnsiTheme="majorHAnsi" w:cstheme="majorHAnsi"/>
          <w:lang w:eastAsia="sl-SI"/>
        </w:rPr>
        <w:t>Vsak delničar, ki ima pravico do udeležbe na skupščini, lahko imenuje pooblaščenca, da se v njegovem imenu udeleži skupščine in uresničuje njegovo glasovalno pravico. Pooblastilo mora biti pisno in ga je potrebno ob prijavi udeležbe na skupščini predložiti družbi, kjer ostane shranjeno. Obrazec za uresničevanje glasovalne pravice po pooblaščencu je dostopen na spletni strani družbe, vsak delničar pa ga lahko brezplačno pridobi tudi pri izvršnima direktorjema na sedežu družbe ali v tajništvu družbe Simfin d.o.o., Partizanska ulica 38, Slovenska Bistrica vsak delovni dan od dneva objave sklica do zasedanja skupščine med 8</w:t>
      </w:r>
      <w:r w:rsidRPr="00C14627">
        <w:rPr>
          <w:rFonts w:asciiTheme="majorHAnsi" w:eastAsia="Times New Roman" w:hAnsiTheme="majorHAnsi" w:cstheme="majorHAnsi"/>
          <w:vertAlign w:val="superscript"/>
          <w:lang w:eastAsia="sl-SI"/>
        </w:rPr>
        <w:t>00</w:t>
      </w:r>
      <w:r w:rsidRPr="00C14627">
        <w:rPr>
          <w:rFonts w:asciiTheme="majorHAnsi" w:eastAsia="Times New Roman" w:hAnsiTheme="majorHAnsi" w:cstheme="majorHAnsi"/>
          <w:lang w:eastAsia="sl-SI"/>
        </w:rPr>
        <w:t xml:space="preserve"> in 14</w:t>
      </w:r>
      <w:r w:rsidRPr="00C14627">
        <w:rPr>
          <w:rFonts w:asciiTheme="majorHAnsi" w:eastAsia="Times New Roman" w:hAnsiTheme="majorHAnsi" w:cstheme="majorHAnsi"/>
          <w:vertAlign w:val="superscript"/>
          <w:lang w:eastAsia="sl-SI"/>
        </w:rPr>
        <w:t>00</w:t>
      </w:r>
      <w:r w:rsidRPr="00C14627">
        <w:rPr>
          <w:rFonts w:asciiTheme="majorHAnsi" w:eastAsia="Times New Roman" w:hAnsiTheme="majorHAnsi" w:cstheme="majorHAnsi"/>
          <w:lang w:eastAsia="sl-SI"/>
        </w:rPr>
        <w:t xml:space="preserve"> uro. </w:t>
      </w:r>
    </w:p>
    <w:p w:rsidR="00106D5F" w:rsidRPr="00C14627" w:rsidRDefault="00106D5F" w:rsidP="00106D5F">
      <w:pPr>
        <w:spacing w:after="0" w:line="240" w:lineRule="auto"/>
        <w:ind w:left="794"/>
        <w:jc w:val="both"/>
        <w:rPr>
          <w:rFonts w:asciiTheme="majorHAnsi" w:eastAsia="Times New Roman" w:hAnsiTheme="majorHAnsi" w:cstheme="majorHAnsi"/>
          <w:lang w:eastAsia="sl-SI"/>
        </w:rPr>
      </w:pPr>
      <w:r w:rsidRPr="00C14627">
        <w:rPr>
          <w:rFonts w:asciiTheme="majorHAnsi" w:eastAsia="Times New Roman" w:hAnsiTheme="majorHAnsi" w:cstheme="majorHAnsi"/>
          <w:lang w:eastAsia="sl-SI"/>
        </w:rPr>
        <w:t xml:space="preserve">Delničar lahko pooblastilo na enak način, kot ga je podelil, do dneva skupščine kadarkoli prekliče. </w:t>
      </w:r>
    </w:p>
    <w:p w:rsidR="00106D5F" w:rsidRPr="00C14627" w:rsidRDefault="00106D5F" w:rsidP="00106D5F">
      <w:pPr>
        <w:spacing w:after="0" w:line="240" w:lineRule="auto"/>
        <w:jc w:val="both"/>
        <w:rPr>
          <w:rFonts w:asciiTheme="majorHAnsi" w:eastAsia="Times New Roman" w:hAnsiTheme="majorHAnsi" w:cstheme="majorHAnsi"/>
          <w:i/>
          <w:lang w:eastAsia="sl-SI"/>
        </w:rPr>
      </w:pPr>
    </w:p>
    <w:p w:rsidR="00106D5F" w:rsidRPr="00C14627" w:rsidRDefault="00106D5F" w:rsidP="00106D5F">
      <w:pPr>
        <w:spacing w:after="0" w:line="240" w:lineRule="auto"/>
        <w:jc w:val="both"/>
        <w:rPr>
          <w:rFonts w:asciiTheme="majorHAnsi" w:eastAsia="Times New Roman" w:hAnsiTheme="majorHAnsi" w:cstheme="majorHAnsi"/>
          <w:i/>
          <w:lang w:eastAsia="sl-SI"/>
        </w:rPr>
      </w:pPr>
      <w:r w:rsidRPr="00C14627">
        <w:rPr>
          <w:rFonts w:asciiTheme="majorHAnsi" w:eastAsia="Times New Roman" w:hAnsiTheme="majorHAnsi" w:cstheme="majorHAnsi"/>
          <w:i/>
          <w:lang w:eastAsia="sl-SI"/>
        </w:rPr>
        <w:t>Način prijave na skupščino</w:t>
      </w:r>
    </w:p>
    <w:p w:rsidR="00106D5F" w:rsidRPr="00C14627" w:rsidRDefault="00106D5F" w:rsidP="00106D5F">
      <w:pPr>
        <w:numPr>
          <w:ilvl w:val="1"/>
          <w:numId w:val="5"/>
        </w:numPr>
        <w:spacing w:after="0" w:line="240" w:lineRule="auto"/>
        <w:jc w:val="both"/>
        <w:rPr>
          <w:rFonts w:asciiTheme="majorHAnsi" w:eastAsia="Times New Roman" w:hAnsiTheme="majorHAnsi" w:cstheme="majorHAnsi"/>
          <w:lang w:eastAsia="sl-SI"/>
        </w:rPr>
      </w:pPr>
      <w:r w:rsidRPr="00C14627">
        <w:rPr>
          <w:rFonts w:asciiTheme="majorHAnsi" w:eastAsia="Times New Roman" w:hAnsiTheme="majorHAnsi" w:cstheme="majorHAnsi"/>
          <w:lang w:eastAsia="sl-SI"/>
        </w:rPr>
        <w:t>Prijava za udeležbo na skupščini mora biti podana pisno ali ustno izvršnima direktorjema družbe (v tajništvu družbe Simfin, d. o. o., Partizanska ulica 38, Slovenska Bistrica) ali pa s priporočenim pismom, prejetim na sedežu družbe štiri delovne dneve pred sejo skupščine, to je do vključno 15. julija 2019.</w:t>
      </w:r>
      <w:bookmarkEnd w:id="1"/>
    </w:p>
    <w:p w:rsidR="00106D5F" w:rsidRPr="00C14627" w:rsidRDefault="00106D5F" w:rsidP="00106D5F">
      <w:pPr>
        <w:spacing w:after="0" w:line="240" w:lineRule="auto"/>
        <w:jc w:val="both"/>
        <w:rPr>
          <w:rFonts w:asciiTheme="majorHAnsi" w:eastAsia="Times New Roman" w:hAnsiTheme="majorHAnsi" w:cstheme="majorHAnsi"/>
          <w:i/>
          <w:lang w:eastAsia="sl-SI"/>
        </w:rPr>
      </w:pPr>
    </w:p>
    <w:p w:rsidR="00106D5F" w:rsidRPr="00C14627" w:rsidRDefault="00106D5F" w:rsidP="00106D5F">
      <w:pPr>
        <w:spacing w:after="0" w:line="240" w:lineRule="auto"/>
        <w:jc w:val="both"/>
        <w:rPr>
          <w:rFonts w:asciiTheme="majorHAnsi" w:eastAsia="Times New Roman" w:hAnsiTheme="majorHAnsi" w:cstheme="majorHAnsi"/>
          <w:i/>
          <w:lang w:eastAsia="sl-SI"/>
        </w:rPr>
      </w:pPr>
      <w:r w:rsidRPr="00C14627">
        <w:rPr>
          <w:rFonts w:asciiTheme="majorHAnsi" w:eastAsia="Times New Roman" w:hAnsiTheme="majorHAnsi" w:cstheme="majorHAnsi"/>
          <w:i/>
          <w:lang w:eastAsia="sl-SI"/>
        </w:rPr>
        <w:t>Vstop v prostore skupščine</w:t>
      </w:r>
    </w:p>
    <w:p w:rsidR="00106D5F" w:rsidRPr="00C14627" w:rsidRDefault="00106D5F" w:rsidP="00106D5F">
      <w:pPr>
        <w:numPr>
          <w:ilvl w:val="1"/>
          <w:numId w:val="5"/>
        </w:numPr>
        <w:spacing w:after="0" w:line="240" w:lineRule="auto"/>
        <w:jc w:val="both"/>
        <w:rPr>
          <w:rFonts w:asciiTheme="majorHAnsi" w:eastAsia="Times New Roman" w:hAnsiTheme="majorHAnsi" w:cstheme="majorHAnsi"/>
          <w:lang w:eastAsia="sl-SI"/>
        </w:rPr>
      </w:pPr>
      <w:r w:rsidRPr="00C14627">
        <w:rPr>
          <w:rFonts w:asciiTheme="majorHAnsi" w:eastAsia="Times New Roman" w:hAnsiTheme="majorHAnsi" w:cstheme="majorHAnsi"/>
          <w:lang w:eastAsia="sl-SI"/>
        </w:rPr>
        <w:t>Za vstop v prostore, kjer bo seja skupščine, mora delničar ali pooblaščenec imeti vstopnico, ki jo ob osebni prijavi dobi pri izvršnih direktorjih (v tajništvu družbe Simfin d.o.o., Partizanska ulica 38, Slovenska Bistrica), vsak delovni dan od 8</w:t>
      </w:r>
      <w:r w:rsidRPr="00C14627">
        <w:rPr>
          <w:rFonts w:asciiTheme="majorHAnsi" w:eastAsia="Times New Roman" w:hAnsiTheme="majorHAnsi" w:cstheme="majorHAnsi"/>
          <w:vertAlign w:val="superscript"/>
          <w:lang w:eastAsia="sl-SI"/>
        </w:rPr>
        <w:t>00</w:t>
      </w:r>
      <w:r w:rsidRPr="00C14627">
        <w:rPr>
          <w:rFonts w:asciiTheme="majorHAnsi" w:eastAsia="Times New Roman" w:hAnsiTheme="majorHAnsi" w:cstheme="majorHAnsi"/>
          <w:lang w:eastAsia="sl-SI"/>
        </w:rPr>
        <w:t xml:space="preserve"> do 14</w:t>
      </w:r>
      <w:r w:rsidRPr="00C14627">
        <w:rPr>
          <w:rFonts w:asciiTheme="majorHAnsi" w:eastAsia="Times New Roman" w:hAnsiTheme="majorHAnsi" w:cstheme="majorHAnsi"/>
          <w:vertAlign w:val="superscript"/>
          <w:lang w:eastAsia="sl-SI"/>
        </w:rPr>
        <w:t>00</w:t>
      </w:r>
      <w:r w:rsidRPr="00C14627">
        <w:rPr>
          <w:rFonts w:asciiTheme="majorHAnsi" w:eastAsia="Times New Roman" w:hAnsiTheme="majorHAnsi" w:cstheme="majorHAnsi"/>
          <w:lang w:eastAsia="sl-SI"/>
        </w:rPr>
        <w:t>. Pri prijavi s priporočenim pismom mu bo vstopnica poslana po pošti na naslov, s katerega je prijava prispela. Če da delničar za udeležbo na skupščini pooblastilo pooblaščencu, mora ta ob predložitvi pooblastila o zastopanju priložiti tudi vstopnico delničarja, ki ga zastopa.</w:t>
      </w:r>
    </w:p>
    <w:p w:rsidR="00106D5F" w:rsidRPr="00C14627" w:rsidRDefault="00106D5F" w:rsidP="00106D5F">
      <w:pPr>
        <w:numPr>
          <w:ilvl w:val="1"/>
          <w:numId w:val="5"/>
        </w:numPr>
        <w:spacing w:after="0" w:line="240" w:lineRule="auto"/>
        <w:jc w:val="both"/>
        <w:rPr>
          <w:rFonts w:asciiTheme="majorHAnsi" w:eastAsia="Times New Roman" w:hAnsiTheme="majorHAnsi" w:cstheme="majorHAnsi"/>
          <w:lang w:eastAsia="sl-SI"/>
        </w:rPr>
      </w:pPr>
      <w:r w:rsidRPr="00C14627">
        <w:rPr>
          <w:rFonts w:asciiTheme="majorHAnsi" w:eastAsia="Times New Roman" w:hAnsiTheme="majorHAnsi" w:cstheme="majorHAnsi"/>
          <w:lang w:eastAsia="sl-SI"/>
        </w:rPr>
        <w:t>Prijavljene udeležence pozivamo, da svoj prihod na sejo potrdijo pred začetkom seje skupščine, tako da se izkažejo s predložitvijo vstopnice ter s pooblastilom, če zastopajo drugega delničarja in v primeru osebnega nepoznavanja z osebnim dokumentom, pravne osebe pa v primeru osebnega nepoznavanja še z izpisom iz sodnega registra. Ob tej priložnosti bodo prevzeli tudi glasovnice za posamezne točke dnevnega reda.</w:t>
      </w:r>
    </w:p>
    <w:p w:rsidR="00106D5F" w:rsidRPr="00C14627" w:rsidRDefault="00106D5F" w:rsidP="00106D5F">
      <w:pPr>
        <w:spacing w:after="0" w:line="240" w:lineRule="auto"/>
        <w:jc w:val="both"/>
        <w:rPr>
          <w:rFonts w:asciiTheme="majorHAnsi" w:eastAsia="Times New Roman" w:hAnsiTheme="majorHAnsi" w:cstheme="majorHAnsi"/>
          <w:i/>
          <w:lang w:eastAsia="sl-SI"/>
        </w:rPr>
      </w:pPr>
    </w:p>
    <w:p w:rsidR="00106D5F" w:rsidRPr="00C14627" w:rsidRDefault="00106D5F" w:rsidP="00106D5F">
      <w:pPr>
        <w:spacing w:after="0" w:line="240" w:lineRule="auto"/>
        <w:jc w:val="both"/>
        <w:rPr>
          <w:rFonts w:asciiTheme="majorHAnsi" w:eastAsia="Times New Roman" w:hAnsiTheme="majorHAnsi" w:cstheme="majorHAnsi"/>
          <w:i/>
          <w:lang w:eastAsia="sl-SI"/>
        </w:rPr>
      </w:pPr>
      <w:r w:rsidRPr="00C14627">
        <w:rPr>
          <w:rFonts w:asciiTheme="majorHAnsi" w:eastAsia="Times New Roman" w:hAnsiTheme="majorHAnsi" w:cstheme="majorHAnsi"/>
          <w:i/>
          <w:lang w:eastAsia="sl-SI"/>
        </w:rPr>
        <w:t>Skupno število delnic in glasovalnih pravic</w:t>
      </w:r>
    </w:p>
    <w:p w:rsidR="00106D5F" w:rsidRPr="00C14627" w:rsidRDefault="00106D5F" w:rsidP="00106D5F">
      <w:pPr>
        <w:numPr>
          <w:ilvl w:val="1"/>
          <w:numId w:val="5"/>
        </w:numPr>
        <w:spacing w:after="0" w:line="240" w:lineRule="auto"/>
        <w:jc w:val="both"/>
        <w:rPr>
          <w:rFonts w:asciiTheme="majorHAnsi" w:eastAsia="Times New Roman" w:hAnsiTheme="majorHAnsi" w:cstheme="majorHAnsi"/>
          <w:lang w:eastAsia="sl-SI"/>
        </w:rPr>
      </w:pPr>
      <w:r w:rsidRPr="00C14627">
        <w:rPr>
          <w:rFonts w:asciiTheme="majorHAnsi" w:eastAsia="Times New Roman" w:hAnsiTheme="majorHAnsi" w:cstheme="majorHAnsi"/>
          <w:lang w:eastAsia="sl-SI"/>
        </w:rPr>
        <w:t>Na dan sklica skupščine ima družba 1.066.767 navadnih prosto prenosljivih imenskih kosovnih delnic. Skladno z zakonom daje vsaka navadna delnica njenemu imetniku en glas na skupščini. Delničar, ki ima več kot 106.677 delnic, ne more izvrševati glasovalne pravice za znesek, ki presega 10</w:t>
      </w:r>
      <w:r w:rsidR="00DE056B" w:rsidRPr="00C14627">
        <w:rPr>
          <w:rFonts w:asciiTheme="majorHAnsi" w:eastAsia="Times New Roman" w:hAnsiTheme="majorHAnsi" w:cstheme="majorHAnsi"/>
          <w:lang w:eastAsia="sl-SI"/>
        </w:rPr>
        <w:t xml:space="preserve"> odstotkov</w:t>
      </w:r>
      <w:r w:rsidRPr="00C14627">
        <w:rPr>
          <w:rFonts w:asciiTheme="majorHAnsi" w:eastAsia="Times New Roman" w:hAnsiTheme="majorHAnsi" w:cstheme="majorHAnsi"/>
          <w:lang w:eastAsia="sl-SI"/>
        </w:rPr>
        <w:t xml:space="preserve"> osnovnega kapitala. Na dan sklica skupščine ima glasovalno pravico 1.061.995 delnic. </w:t>
      </w:r>
    </w:p>
    <w:p w:rsidR="00106D5F" w:rsidRPr="00C14627" w:rsidRDefault="00106D5F" w:rsidP="00106D5F">
      <w:pPr>
        <w:numPr>
          <w:ilvl w:val="1"/>
          <w:numId w:val="5"/>
        </w:numPr>
        <w:spacing w:after="0" w:line="240" w:lineRule="auto"/>
        <w:jc w:val="both"/>
        <w:rPr>
          <w:rFonts w:asciiTheme="majorHAnsi" w:eastAsia="Times New Roman" w:hAnsiTheme="majorHAnsi" w:cstheme="majorHAnsi"/>
          <w:lang w:eastAsia="sl-SI"/>
        </w:rPr>
      </w:pPr>
      <w:r w:rsidRPr="00C14627">
        <w:rPr>
          <w:rFonts w:asciiTheme="majorHAnsi" w:eastAsia="Times New Roman" w:hAnsiTheme="majorHAnsi" w:cstheme="majorHAnsi"/>
          <w:lang w:eastAsia="sl-SI"/>
        </w:rPr>
        <w:t xml:space="preserve">Register nematerializiranih vrednostnih papirjev se vodi na centralnem registru na KDD, delničarji pa imajo odprte trgovalne račune pri pooblaščenih borzno posredniških hišah. </w:t>
      </w:r>
    </w:p>
    <w:p w:rsidR="00CC5A42" w:rsidRPr="00C14627" w:rsidRDefault="00CC5A42" w:rsidP="00CC5A42">
      <w:pPr>
        <w:spacing w:after="0" w:line="240" w:lineRule="auto"/>
        <w:ind w:left="360"/>
        <w:jc w:val="both"/>
        <w:rPr>
          <w:rFonts w:asciiTheme="majorHAnsi" w:eastAsia="Times New Roman" w:hAnsiTheme="majorHAnsi" w:cstheme="majorHAnsi"/>
          <w:lang w:eastAsia="sl-SI"/>
        </w:rPr>
      </w:pPr>
    </w:p>
    <w:p w:rsidR="002A5AE4" w:rsidRPr="00C14627" w:rsidRDefault="002A5AE4" w:rsidP="00CC5A42">
      <w:pPr>
        <w:spacing w:after="0" w:line="240" w:lineRule="auto"/>
        <w:ind w:left="360"/>
        <w:jc w:val="both"/>
        <w:rPr>
          <w:rFonts w:asciiTheme="majorHAnsi" w:eastAsia="Times New Roman" w:hAnsiTheme="majorHAnsi" w:cstheme="majorHAnsi"/>
          <w:lang w:eastAsia="sl-SI"/>
        </w:rPr>
      </w:pPr>
    </w:p>
    <w:p w:rsidR="00CC5A42" w:rsidRPr="00C14627" w:rsidRDefault="00CC5A42" w:rsidP="00CC5A42">
      <w:pPr>
        <w:spacing w:after="0" w:line="240" w:lineRule="auto"/>
        <w:ind w:left="360"/>
        <w:jc w:val="both"/>
        <w:rPr>
          <w:rFonts w:asciiTheme="majorHAnsi" w:eastAsia="Times New Roman" w:hAnsiTheme="majorHAnsi" w:cstheme="majorHAnsi"/>
          <w:lang w:eastAsia="sl-SI"/>
        </w:rPr>
      </w:pPr>
      <w:r w:rsidRPr="00C14627">
        <w:rPr>
          <w:rFonts w:asciiTheme="majorHAnsi" w:eastAsia="Times New Roman" w:hAnsiTheme="majorHAnsi" w:cstheme="majorHAnsi"/>
          <w:lang w:eastAsia="sl-SI"/>
        </w:rPr>
        <w:t>Slov. Bistrica, 12.</w:t>
      </w:r>
      <w:r w:rsidR="00DE056B" w:rsidRPr="00C14627">
        <w:rPr>
          <w:rFonts w:asciiTheme="majorHAnsi" w:eastAsia="Times New Roman" w:hAnsiTheme="majorHAnsi" w:cstheme="majorHAnsi"/>
          <w:lang w:eastAsia="sl-SI"/>
        </w:rPr>
        <w:t xml:space="preserve"> </w:t>
      </w:r>
      <w:r w:rsidRPr="00C14627">
        <w:rPr>
          <w:rFonts w:asciiTheme="majorHAnsi" w:eastAsia="Times New Roman" w:hAnsiTheme="majorHAnsi" w:cstheme="majorHAnsi"/>
          <w:lang w:eastAsia="sl-SI"/>
        </w:rPr>
        <w:t>6.</w:t>
      </w:r>
      <w:r w:rsidR="00DE056B" w:rsidRPr="00C14627">
        <w:rPr>
          <w:rFonts w:asciiTheme="majorHAnsi" w:eastAsia="Times New Roman" w:hAnsiTheme="majorHAnsi" w:cstheme="majorHAnsi"/>
          <w:lang w:eastAsia="sl-SI"/>
        </w:rPr>
        <w:t xml:space="preserve"> </w:t>
      </w:r>
      <w:r w:rsidRPr="00C14627">
        <w:rPr>
          <w:rFonts w:asciiTheme="majorHAnsi" w:eastAsia="Times New Roman" w:hAnsiTheme="majorHAnsi" w:cstheme="majorHAnsi"/>
          <w:lang w:eastAsia="sl-SI"/>
        </w:rPr>
        <w:t xml:space="preserve">2019                  </w:t>
      </w:r>
      <w:r w:rsidRPr="00C14627">
        <w:rPr>
          <w:rFonts w:asciiTheme="majorHAnsi" w:eastAsia="Times New Roman" w:hAnsiTheme="majorHAnsi" w:cstheme="majorHAnsi"/>
          <w:lang w:eastAsia="sl-SI"/>
        </w:rPr>
        <w:tab/>
      </w:r>
      <w:r w:rsidRPr="00C14627">
        <w:rPr>
          <w:rFonts w:asciiTheme="majorHAnsi" w:eastAsia="Times New Roman" w:hAnsiTheme="majorHAnsi" w:cstheme="majorHAnsi"/>
          <w:lang w:eastAsia="sl-SI"/>
        </w:rPr>
        <w:tab/>
      </w:r>
      <w:r w:rsidRPr="00C14627">
        <w:rPr>
          <w:rFonts w:asciiTheme="majorHAnsi" w:eastAsia="Times New Roman" w:hAnsiTheme="majorHAnsi" w:cstheme="majorHAnsi"/>
          <w:lang w:eastAsia="sl-SI"/>
        </w:rPr>
        <w:tab/>
      </w:r>
      <w:r w:rsidRPr="00C14627">
        <w:rPr>
          <w:rFonts w:asciiTheme="majorHAnsi" w:eastAsia="Times New Roman" w:hAnsiTheme="majorHAnsi" w:cstheme="majorHAnsi"/>
          <w:lang w:eastAsia="sl-SI"/>
        </w:rPr>
        <w:tab/>
      </w:r>
      <w:r w:rsidRPr="00C14627">
        <w:rPr>
          <w:rFonts w:asciiTheme="majorHAnsi" w:eastAsia="Times New Roman" w:hAnsiTheme="majorHAnsi" w:cstheme="majorHAnsi"/>
          <w:lang w:eastAsia="sl-SI"/>
        </w:rPr>
        <w:tab/>
        <w:t xml:space="preserve">Predsednik </w:t>
      </w:r>
      <w:r w:rsidR="00DE056B" w:rsidRPr="00C14627">
        <w:rPr>
          <w:rFonts w:asciiTheme="majorHAnsi" w:eastAsia="Times New Roman" w:hAnsiTheme="majorHAnsi" w:cstheme="majorHAnsi"/>
          <w:lang w:eastAsia="sl-SI"/>
        </w:rPr>
        <w:t>upravnega odbora</w:t>
      </w:r>
      <w:r w:rsidRPr="00C14627">
        <w:rPr>
          <w:rFonts w:asciiTheme="majorHAnsi" w:eastAsia="Times New Roman" w:hAnsiTheme="majorHAnsi" w:cstheme="majorHAnsi"/>
          <w:lang w:eastAsia="sl-SI"/>
        </w:rPr>
        <w:t>:</w:t>
      </w:r>
    </w:p>
    <w:p w:rsidR="00CC5A42" w:rsidRPr="00C14627" w:rsidRDefault="00CC5A42" w:rsidP="00CC5A42">
      <w:pPr>
        <w:spacing w:after="0" w:line="240" w:lineRule="auto"/>
        <w:ind w:left="360"/>
        <w:jc w:val="both"/>
        <w:rPr>
          <w:rFonts w:asciiTheme="majorHAnsi" w:eastAsia="Times New Roman" w:hAnsiTheme="majorHAnsi" w:cstheme="majorHAnsi"/>
          <w:lang w:eastAsia="sl-SI"/>
        </w:rPr>
      </w:pPr>
      <w:r w:rsidRPr="00C14627">
        <w:rPr>
          <w:rFonts w:asciiTheme="majorHAnsi" w:eastAsia="Times New Roman" w:hAnsiTheme="majorHAnsi" w:cstheme="majorHAnsi"/>
          <w:lang w:eastAsia="sl-SI"/>
        </w:rPr>
        <w:tab/>
      </w:r>
      <w:r w:rsidRPr="00C14627">
        <w:rPr>
          <w:rFonts w:asciiTheme="majorHAnsi" w:eastAsia="Times New Roman" w:hAnsiTheme="majorHAnsi" w:cstheme="majorHAnsi"/>
          <w:lang w:eastAsia="sl-SI"/>
        </w:rPr>
        <w:tab/>
      </w:r>
      <w:r w:rsidRPr="00C14627">
        <w:rPr>
          <w:rFonts w:asciiTheme="majorHAnsi" w:eastAsia="Times New Roman" w:hAnsiTheme="majorHAnsi" w:cstheme="majorHAnsi"/>
          <w:lang w:eastAsia="sl-SI"/>
        </w:rPr>
        <w:tab/>
      </w:r>
      <w:r w:rsidRPr="00C14627">
        <w:rPr>
          <w:rFonts w:asciiTheme="majorHAnsi" w:eastAsia="Times New Roman" w:hAnsiTheme="majorHAnsi" w:cstheme="majorHAnsi"/>
          <w:lang w:eastAsia="sl-SI"/>
        </w:rPr>
        <w:tab/>
      </w:r>
      <w:r w:rsidRPr="00C14627">
        <w:rPr>
          <w:rFonts w:asciiTheme="majorHAnsi" w:eastAsia="Times New Roman" w:hAnsiTheme="majorHAnsi" w:cstheme="majorHAnsi"/>
          <w:lang w:eastAsia="sl-SI"/>
        </w:rPr>
        <w:tab/>
      </w:r>
      <w:r w:rsidRPr="00C14627">
        <w:rPr>
          <w:rFonts w:asciiTheme="majorHAnsi" w:eastAsia="Times New Roman" w:hAnsiTheme="majorHAnsi" w:cstheme="majorHAnsi"/>
          <w:lang w:eastAsia="sl-SI"/>
        </w:rPr>
        <w:tab/>
      </w:r>
      <w:r w:rsidRPr="00C14627">
        <w:rPr>
          <w:rFonts w:asciiTheme="majorHAnsi" w:eastAsia="Times New Roman" w:hAnsiTheme="majorHAnsi" w:cstheme="majorHAnsi"/>
          <w:lang w:eastAsia="sl-SI"/>
        </w:rPr>
        <w:tab/>
      </w:r>
      <w:r w:rsidRPr="00C14627">
        <w:rPr>
          <w:rFonts w:asciiTheme="majorHAnsi" w:eastAsia="Times New Roman" w:hAnsiTheme="majorHAnsi" w:cstheme="majorHAnsi"/>
          <w:lang w:eastAsia="sl-SI"/>
        </w:rPr>
        <w:tab/>
      </w:r>
      <w:r w:rsidRPr="00C14627">
        <w:rPr>
          <w:rFonts w:asciiTheme="majorHAnsi" w:eastAsia="Times New Roman" w:hAnsiTheme="majorHAnsi" w:cstheme="majorHAnsi"/>
          <w:lang w:eastAsia="sl-SI"/>
        </w:rPr>
        <w:tab/>
        <w:t>Jernej Čokl</w:t>
      </w:r>
    </w:p>
    <w:p w:rsidR="00837098" w:rsidRPr="00C14627" w:rsidRDefault="00B748BF" w:rsidP="00F42C02">
      <w:pPr>
        <w:ind w:left="360"/>
        <w:jc w:val="right"/>
        <w:rPr>
          <w:rFonts w:asciiTheme="majorHAnsi" w:hAnsiTheme="majorHAnsi" w:cstheme="majorHAnsi"/>
        </w:rPr>
      </w:pPr>
      <w:r w:rsidRPr="00C14627">
        <w:rPr>
          <w:rFonts w:asciiTheme="majorHAnsi" w:hAnsiTheme="majorHAnsi" w:cstheme="majorHAnsi"/>
        </w:rPr>
        <w:tab/>
      </w:r>
      <w:r w:rsidRPr="00C14627">
        <w:rPr>
          <w:rFonts w:asciiTheme="majorHAnsi" w:hAnsiTheme="majorHAnsi" w:cstheme="majorHAnsi"/>
        </w:rPr>
        <w:tab/>
      </w:r>
      <w:r w:rsidRPr="00C14627">
        <w:rPr>
          <w:rFonts w:asciiTheme="majorHAnsi" w:hAnsiTheme="majorHAnsi" w:cstheme="majorHAnsi"/>
        </w:rPr>
        <w:tab/>
      </w:r>
      <w:r w:rsidRPr="00C14627">
        <w:rPr>
          <w:rFonts w:asciiTheme="majorHAnsi" w:hAnsiTheme="majorHAnsi" w:cstheme="majorHAnsi"/>
        </w:rPr>
        <w:tab/>
      </w:r>
      <w:r w:rsidRPr="00C14627">
        <w:rPr>
          <w:rFonts w:asciiTheme="majorHAnsi" w:hAnsiTheme="majorHAnsi" w:cstheme="majorHAnsi"/>
        </w:rPr>
        <w:tab/>
      </w:r>
      <w:r w:rsidRPr="00C14627">
        <w:rPr>
          <w:rFonts w:asciiTheme="majorHAnsi" w:hAnsiTheme="majorHAnsi" w:cstheme="majorHAnsi"/>
        </w:rPr>
        <w:tab/>
      </w:r>
      <w:r w:rsidRPr="00C14627">
        <w:rPr>
          <w:rFonts w:asciiTheme="majorHAnsi" w:hAnsiTheme="majorHAnsi" w:cstheme="majorHAnsi"/>
        </w:rPr>
        <w:tab/>
      </w:r>
      <w:r w:rsidRPr="00C14627">
        <w:rPr>
          <w:rFonts w:asciiTheme="majorHAnsi" w:hAnsiTheme="majorHAnsi" w:cstheme="majorHAnsi"/>
        </w:rPr>
        <w:tab/>
      </w:r>
      <w:r w:rsidR="00F42C02" w:rsidRPr="00C14627">
        <w:rPr>
          <w:rFonts w:asciiTheme="majorHAnsi" w:hAnsiTheme="majorHAnsi" w:cstheme="majorHAnsi"/>
          <w:noProof/>
          <w:lang w:eastAsia="sl-SI"/>
        </w:rPr>
        <w:drawing>
          <wp:inline distT="0" distB="0" distL="0" distR="0" wp14:anchorId="028E5D4E" wp14:editId="2A9E204D">
            <wp:extent cx="438150" cy="657225"/>
            <wp:effectExtent l="0" t="0" r="0" b="9525"/>
            <wp:docPr id="1" name="Slika 1" descr="jern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descr="jernej"/>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8150" cy="657225"/>
                    </a:xfrm>
                    <a:prstGeom prst="rect">
                      <a:avLst/>
                    </a:prstGeom>
                    <a:noFill/>
                    <a:ln>
                      <a:noFill/>
                    </a:ln>
                  </pic:spPr>
                </pic:pic>
              </a:graphicData>
            </a:graphic>
          </wp:inline>
        </w:drawing>
      </w:r>
      <w:r w:rsidR="00F42C02" w:rsidRPr="00C14627">
        <w:rPr>
          <w:rFonts w:asciiTheme="majorHAnsi" w:hAnsiTheme="majorHAnsi" w:cstheme="majorHAnsi"/>
          <w:noProof/>
          <w:color w:val="000000"/>
          <w:lang w:eastAsia="sl-SI"/>
        </w:rPr>
        <w:drawing>
          <wp:inline distT="0" distB="0" distL="0" distR="0" wp14:anchorId="61B4CD65" wp14:editId="70388A6F">
            <wp:extent cx="1619250" cy="828675"/>
            <wp:effectExtent l="0" t="0" r="0" b="9525"/>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0" cy="828675"/>
                    </a:xfrm>
                    <a:prstGeom prst="rect">
                      <a:avLst/>
                    </a:prstGeom>
                    <a:noFill/>
                    <a:ln>
                      <a:noFill/>
                    </a:ln>
                  </pic:spPr>
                </pic:pic>
              </a:graphicData>
            </a:graphic>
          </wp:inline>
        </w:drawing>
      </w:r>
      <w:r w:rsidRPr="00C14627">
        <w:rPr>
          <w:rFonts w:asciiTheme="majorHAnsi" w:hAnsiTheme="majorHAnsi" w:cstheme="majorHAnsi"/>
        </w:rPr>
        <w:tab/>
      </w:r>
    </w:p>
    <w:sectPr w:rsidR="00837098" w:rsidRPr="00C1462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6324B6"/>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8BB1B78"/>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B0D2D26"/>
    <w:multiLevelType w:val="multilevel"/>
    <w:tmpl w:val="860CEFB6"/>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E9F56BF"/>
    <w:multiLevelType w:val="hybridMultilevel"/>
    <w:tmpl w:val="2CA658CC"/>
    <w:lvl w:ilvl="0" w:tplc="04240019">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63CD7E04"/>
    <w:multiLevelType w:val="hybridMultilevel"/>
    <w:tmpl w:val="825EB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682CBF"/>
    <w:multiLevelType w:val="multilevel"/>
    <w:tmpl w:val="AACCE8EE"/>
    <w:lvl w:ilvl="0">
      <w:start w:val="3"/>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num w:numId="1">
    <w:abstractNumId w:val="1"/>
  </w:num>
  <w:num w:numId="2">
    <w:abstractNumId w:val="3"/>
  </w:num>
  <w:num w:numId="3">
    <w:abstractNumId w:val="5"/>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6"/>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D5F"/>
    <w:rsid w:val="00106D5F"/>
    <w:rsid w:val="002A5AE4"/>
    <w:rsid w:val="0049225C"/>
    <w:rsid w:val="00837098"/>
    <w:rsid w:val="00AE4934"/>
    <w:rsid w:val="00B748BF"/>
    <w:rsid w:val="00C14627"/>
    <w:rsid w:val="00CC5A42"/>
    <w:rsid w:val="00DE056B"/>
    <w:rsid w:val="00F42C0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F3918"/>
  <w15:chartTrackingRefBased/>
  <w15:docId w15:val="{4145CFB9-5F89-475D-80A1-CB97B4EC7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6D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5A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ena.sela@impol.si"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vlado.leskovar@impol.si" TargetMode="External"/><Relationship Id="rId12"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rena.sela@impol.si" TargetMode="External"/><Relationship Id="rId11" Type="http://schemas.openxmlformats.org/officeDocument/2006/relationships/image" Target="media/image1.jpeg"/><Relationship Id="rId5" Type="http://schemas.openxmlformats.org/officeDocument/2006/relationships/hyperlink" Target="mailto:vlado.leskovar@impol.si" TargetMode="External"/><Relationship Id="rId10" Type="http://schemas.openxmlformats.org/officeDocument/2006/relationships/hyperlink" Target="http://seonet.ljse.si" TargetMode="External"/><Relationship Id="rId4" Type="http://schemas.openxmlformats.org/officeDocument/2006/relationships/webSettings" Target="webSettings.xml"/><Relationship Id="rId9" Type="http://schemas.openxmlformats.org/officeDocument/2006/relationships/hyperlink" Target="http://www.impol.si" TargetMode="Externa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1549</Words>
  <Characters>8830</Characters>
  <Application>Microsoft Office Word</Application>
  <DocSecurity>0</DocSecurity>
  <Lines>73</Lines>
  <Paragraphs>20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Urska</dc:creator>
  <cp:keywords/>
  <dc:description/>
  <cp:lastModifiedBy>Microsoft Office User</cp:lastModifiedBy>
  <cp:revision>2</cp:revision>
  <dcterms:created xsi:type="dcterms:W3CDTF">2019-06-14T11:44:00Z</dcterms:created>
  <dcterms:modified xsi:type="dcterms:W3CDTF">2019-06-14T11:44:00Z</dcterms:modified>
</cp:coreProperties>
</file>