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6ABA9" w14:textId="77777777" w:rsidR="000D2496" w:rsidRDefault="000D2496" w:rsidP="00EB0C6E">
      <w:pPr>
        <w:jc w:val="center"/>
        <w:rPr>
          <w:rFonts w:ascii="Open Sans" w:hAnsi="Open Sans" w:cs="Open Sans"/>
          <w:b/>
          <w:sz w:val="22"/>
          <w:szCs w:val="22"/>
        </w:rPr>
      </w:pPr>
      <w:bookmarkStart w:id="0" w:name="_GoBack"/>
      <w:bookmarkEnd w:id="0"/>
    </w:p>
    <w:p w14:paraId="36A45C58" w14:textId="77777777" w:rsidR="000D2496" w:rsidRDefault="000D2496" w:rsidP="00EB0C6E">
      <w:pPr>
        <w:jc w:val="center"/>
        <w:rPr>
          <w:rFonts w:ascii="Open Sans" w:hAnsi="Open Sans" w:cs="Open Sans"/>
          <w:b/>
          <w:sz w:val="22"/>
          <w:szCs w:val="22"/>
        </w:rPr>
      </w:pPr>
    </w:p>
    <w:p w14:paraId="5A776FD0" w14:textId="77777777" w:rsidR="00EB0C6E" w:rsidRPr="0029199F" w:rsidRDefault="00EB0C6E" w:rsidP="00EB0C6E">
      <w:pPr>
        <w:jc w:val="center"/>
        <w:rPr>
          <w:rFonts w:ascii="Open Sans" w:hAnsi="Open Sans" w:cs="Open Sans"/>
          <w:b/>
          <w:sz w:val="22"/>
          <w:szCs w:val="22"/>
        </w:rPr>
      </w:pPr>
      <w:r w:rsidRPr="0029199F">
        <w:rPr>
          <w:rFonts w:ascii="Open Sans" w:hAnsi="Open Sans" w:cs="Open Sans"/>
          <w:b/>
          <w:sz w:val="22"/>
          <w:szCs w:val="22"/>
        </w:rPr>
        <w:t>Izjava o skladnosti s Slovenskim kodeksom upravljanja javnih delniških družb</w:t>
      </w:r>
    </w:p>
    <w:p w14:paraId="33096238" w14:textId="77777777" w:rsidR="00EB0C6E" w:rsidRPr="0029199F" w:rsidRDefault="00EB0C6E" w:rsidP="00EB0C6E">
      <w:pPr>
        <w:jc w:val="both"/>
        <w:rPr>
          <w:rFonts w:ascii="Open Sans" w:hAnsi="Open Sans" w:cs="Open Sans"/>
        </w:rPr>
      </w:pPr>
    </w:p>
    <w:p w14:paraId="0A09C827" w14:textId="77777777" w:rsidR="00EB0C6E" w:rsidRPr="0029199F" w:rsidRDefault="00EB0C6E" w:rsidP="00EB0C6E">
      <w:pPr>
        <w:jc w:val="both"/>
        <w:rPr>
          <w:rFonts w:ascii="Open Sans" w:hAnsi="Open Sans" w:cs="Open Sans"/>
        </w:rPr>
      </w:pPr>
    </w:p>
    <w:p w14:paraId="3450306C" w14:textId="799ED0E7" w:rsidR="00EB0C6E" w:rsidRPr="000D2496" w:rsidRDefault="00EB0C6E" w:rsidP="00EB0C6E">
      <w:pPr>
        <w:jc w:val="both"/>
        <w:rPr>
          <w:rFonts w:ascii="Open Sans" w:hAnsi="Open Sans" w:cs="Open Sans"/>
        </w:rPr>
      </w:pPr>
      <w:r w:rsidRPr="0029199F">
        <w:rPr>
          <w:rFonts w:ascii="Open Sans" w:hAnsi="Open Sans" w:cs="Open Sans"/>
        </w:rPr>
        <w:t>Družba je v poslovnem letu 201</w:t>
      </w:r>
      <w:r w:rsidR="009A09A5">
        <w:rPr>
          <w:rFonts w:ascii="Open Sans" w:hAnsi="Open Sans" w:cs="Open Sans"/>
        </w:rPr>
        <w:t>9</w:t>
      </w:r>
      <w:r w:rsidRPr="0029199F">
        <w:rPr>
          <w:rFonts w:ascii="Open Sans" w:hAnsi="Open Sans" w:cs="Open Sans"/>
        </w:rPr>
        <w:t xml:space="preserve"> poslovala v skladu s Kodeksom upravljanja javnih delniških družb (v nadaljevanju Kodeks), ki sta ga v prenovljeni obliki oblikovala Ljubljanska borza d. d. Ljubljana in Združenje nadzornikov Slovenije in je bil sprejet 27. 10. 2016. Kodeks se je začel uporabljati 1. 1. 2017 in je v slovenskem in angleškem jeziku javno objavljen na spletnih straneh Ljubljanske borze, </w:t>
      </w:r>
      <w:r w:rsidRPr="000D2496">
        <w:rPr>
          <w:rFonts w:ascii="Open Sans" w:hAnsi="Open Sans" w:cs="Open Sans"/>
        </w:rPr>
        <w:t>d. d..</w:t>
      </w:r>
    </w:p>
    <w:p w14:paraId="035E782E" w14:textId="77777777" w:rsidR="00EB0C6E" w:rsidRPr="000D2496" w:rsidRDefault="00EB0C6E" w:rsidP="00EB0C6E">
      <w:pPr>
        <w:jc w:val="both"/>
        <w:rPr>
          <w:rFonts w:cs="Open Sans"/>
        </w:rPr>
      </w:pPr>
    </w:p>
    <w:p w14:paraId="5A352120" w14:textId="77777777" w:rsidR="00EB0C6E" w:rsidRDefault="00EB0C6E" w:rsidP="00EB0C6E">
      <w:pPr>
        <w:jc w:val="both"/>
        <w:rPr>
          <w:rFonts w:ascii="Open Sans" w:hAnsi="Open Sans" w:cs="Open Sans"/>
        </w:rPr>
      </w:pPr>
      <w:r w:rsidRPr="000D2496">
        <w:rPr>
          <w:rFonts w:ascii="Open Sans" w:hAnsi="Open Sans" w:cs="Open Sans"/>
        </w:rPr>
        <w:t>Družba Nama d.d. Ljubljana vsebinsko sledi določbam Kodeksa. Od njega odstopa oziroma ga ne upošteva v naslednjih določbah:</w:t>
      </w:r>
    </w:p>
    <w:p w14:paraId="4344AD1B" w14:textId="77777777" w:rsidR="000D2496" w:rsidRPr="0029199F" w:rsidRDefault="000D2496" w:rsidP="00EB0C6E">
      <w:pPr>
        <w:jc w:val="both"/>
        <w:rPr>
          <w:rFonts w:ascii="Open Sans" w:hAnsi="Open Sans" w:cs="Open Sans"/>
        </w:rPr>
      </w:pPr>
    </w:p>
    <w:p w14:paraId="3CB1AE8A" w14:textId="77777777" w:rsidR="00EB0C6E" w:rsidRPr="0029199F" w:rsidRDefault="00EB0C6E" w:rsidP="00EB0C6E">
      <w:pPr>
        <w:jc w:val="both"/>
        <w:rPr>
          <w:rFonts w:ascii="Open Sans" w:hAnsi="Open Sans" w:cs="Open Sans"/>
        </w:rPr>
      </w:pPr>
    </w:p>
    <w:p w14:paraId="0781B3C9" w14:textId="77777777" w:rsidR="00EB0C6E" w:rsidRPr="000D2496" w:rsidRDefault="00EB0C6E" w:rsidP="00EB0C6E">
      <w:pPr>
        <w:jc w:val="both"/>
        <w:rPr>
          <w:rFonts w:ascii="Open Sans" w:hAnsi="Open Sans" w:cs="Open Sans"/>
        </w:rPr>
      </w:pPr>
      <w:r w:rsidRPr="000D2496">
        <w:rPr>
          <w:rFonts w:ascii="Open Sans" w:hAnsi="Open Sans" w:cs="Open Sans"/>
        </w:rPr>
        <w:t>4. Politika raznolikosti</w:t>
      </w:r>
    </w:p>
    <w:p w14:paraId="15DADCB8" w14:textId="77777777" w:rsidR="00EB0C6E" w:rsidRPr="000D2496" w:rsidRDefault="00EB0C6E" w:rsidP="00EB0C6E">
      <w:pPr>
        <w:jc w:val="both"/>
        <w:rPr>
          <w:rFonts w:ascii="Open Sans" w:hAnsi="Open Sans" w:cs="Open Sans"/>
        </w:rPr>
      </w:pPr>
      <w:r w:rsidRPr="000D2496">
        <w:rPr>
          <w:rFonts w:ascii="Open Sans" w:hAnsi="Open Sans" w:cs="Open Sans"/>
        </w:rPr>
        <w:t>4.2. Družba nima sprejete politike  raznolikosti v zvezi z zastopanjem v organih vodenja ali nadzora družbe, pri čemer pri iskanju kandidatov za člane vodenja in nadzora upošteva strokovno znanje, delovne izkušnje in kompetence, pri tem pa ne diskriminira na podlagi spola, starosti in izobrazbe.</w:t>
      </w:r>
    </w:p>
    <w:p w14:paraId="08524940" w14:textId="77777777" w:rsidR="00EB0C6E" w:rsidRPr="000D2496" w:rsidRDefault="00EB0C6E" w:rsidP="00EB0C6E">
      <w:pPr>
        <w:jc w:val="both"/>
        <w:rPr>
          <w:rFonts w:ascii="Open Sans" w:hAnsi="Open Sans" w:cs="Open Sans"/>
        </w:rPr>
      </w:pPr>
    </w:p>
    <w:p w14:paraId="57D0DDE3" w14:textId="77777777" w:rsidR="00EB0C6E" w:rsidRPr="000D2496" w:rsidRDefault="00EB0C6E" w:rsidP="00EB0C6E">
      <w:pPr>
        <w:jc w:val="both"/>
        <w:rPr>
          <w:rFonts w:ascii="Open Sans" w:hAnsi="Open Sans" w:cs="Open Sans"/>
        </w:rPr>
      </w:pPr>
      <w:r w:rsidRPr="000D2496">
        <w:rPr>
          <w:rFonts w:ascii="Open Sans" w:hAnsi="Open Sans" w:cs="Open Sans"/>
        </w:rPr>
        <w:t>6. Odnos do delničarjev</w:t>
      </w:r>
    </w:p>
    <w:p w14:paraId="02DD2BCE" w14:textId="77777777" w:rsidR="00EB0C6E" w:rsidRPr="000D2496" w:rsidRDefault="00EB0C6E" w:rsidP="00EB0C6E">
      <w:pPr>
        <w:jc w:val="both"/>
        <w:rPr>
          <w:rFonts w:ascii="Open Sans" w:hAnsi="Open Sans" w:cs="Open Sans"/>
        </w:rPr>
      </w:pPr>
      <w:r w:rsidRPr="000D2496">
        <w:rPr>
          <w:rFonts w:ascii="Open Sans" w:hAnsi="Open Sans" w:cs="Open Sans"/>
        </w:rPr>
        <w:t>6.2. Glede na dejstvo, da večinski delničarji po potrebi sami komunicirajo svoje namene glede upravljanja naložb v javni delniški družbi, družba ni posebej pozvala delničarjev na način, da bi večje delničarje spodbudila, da le-ti javnosti seznanijo s svojo politiko upravljanja z naložbo v javni delniški družbi.</w:t>
      </w:r>
    </w:p>
    <w:p w14:paraId="79E6253F" w14:textId="77777777" w:rsidR="00EB0C6E" w:rsidRPr="000D2496" w:rsidRDefault="00EB0C6E" w:rsidP="00EB0C6E">
      <w:pPr>
        <w:jc w:val="both"/>
        <w:rPr>
          <w:rFonts w:ascii="Open Sans" w:hAnsi="Open Sans" w:cs="Open Sans"/>
        </w:rPr>
      </w:pPr>
    </w:p>
    <w:p w14:paraId="0D2FD090" w14:textId="77777777" w:rsidR="00EB0C6E" w:rsidRPr="000D2496" w:rsidRDefault="00EB0C6E" w:rsidP="00EB0C6E">
      <w:pPr>
        <w:jc w:val="both"/>
        <w:rPr>
          <w:rFonts w:ascii="Open Sans" w:hAnsi="Open Sans" w:cs="Open Sans"/>
        </w:rPr>
      </w:pPr>
      <w:r w:rsidRPr="000D2496">
        <w:rPr>
          <w:rFonts w:ascii="Open Sans" w:hAnsi="Open Sans" w:cs="Open Sans"/>
        </w:rPr>
        <w:t>8. Skupščina delničarjev</w:t>
      </w:r>
    </w:p>
    <w:p w14:paraId="7E60D34A" w14:textId="77777777" w:rsidR="00EB0C6E" w:rsidRPr="000D2496" w:rsidRDefault="00EB0C6E" w:rsidP="00EB0C6E">
      <w:pPr>
        <w:jc w:val="both"/>
        <w:rPr>
          <w:rFonts w:ascii="Open Sans" w:hAnsi="Open Sans" w:cs="Open Sans"/>
        </w:rPr>
      </w:pPr>
      <w:r w:rsidRPr="000D2496">
        <w:rPr>
          <w:rFonts w:ascii="Open Sans" w:hAnsi="Open Sans" w:cs="Open Sans"/>
        </w:rPr>
        <w:t>8.9. Družba običajno na skupščino ne povabi predstavnika revizijske družbe.</w:t>
      </w:r>
    </w:p>
    <w:p w14:paraId="6396B9D0" w14:textId="77777777" w:rsidR="00EB0C6E" w:rsidRPr="000D2496" w:rsidRDefault="00EB0C6E" w:rsidP="00EB0C6E">
      <w:pPr>
        <w:jc w:val="both"/>
        <w:rPr>
          <w:rFonts w:ascii="Open Sans" w:hAnsi="Open Sans" w:cs="Open Sans"/>
        </w:rPr>
      </w:pPr>
    </w:p>
    <w:p w14:paraId="28634B30" w14:textId="77777777" w:rsidR="00EB0C6E" w:rsidRPr="000D2496" w:rsidRDefault="00EB0C6E" w:rsidP="00EB0C6E">
      <w:pPr>
        <w:jc w:val="both"/>
        <w:rPr>
          <w:rFonts w:ascii="Open Sans" w:hAnsi="Open Sans" w:cs="Open Sans"/>
        </w:rPr>
      </w:pPr>
      <w:r w:rsidRPr="000D2496">
        <w:rPr>
          <w:rFonts w:ascii="Open Sans" w:hAnsi="Open Sans" w:cs="Open Sans"/>
        </w:rPr>
        <w:t>12. Naloge nadzornega sveta</w:t>
      </w:r>
    </w:p>
    <w:p w14:paraId="04483620" w14:textId="10C59D64" w:rsidR="00EB0C6E" w:rsidRPr="000D2496" w:rsidRDefault="00EB0C6E" w:rsidP="00EB0C6E">
      <w:pPr>
        <w:jc w:val="both"/>
        <w:rPr>
          <w:rFonts w:ascii="Open Sans" w:hAnsi="Open Sans" w:cs="Open Sans"/>
        </w:rPr>
      </w:pPr>
      <w:r w:rsidRPr="000D2496">
        <w:rPr>
          <w:rFonts w:ascii="Open Sans" w:hAnsi="Open Sans" w:cs="Open Sans"/>
        </w:rPr>
        <w:t>12.5. Družba le delno uporablja informacijsko tehnologijo za razpošiljanje gradiv za seje nadzornega sveta. Skladno s sprejetim akcijskim načrtom bo družba v letu 20</w:t>
      </w:r>
      <w:r w:rsidR="009A09A5">
        <w:rPr>
          <w:rFonts w:ascii="Open Sans" w:hAnsi="Open Sans" w:cs="Open Sans"/>
        </w:rPr>
        <w:t>20</w:t>
      </w:r>
      <w:r w:rsidRPr="000D2496">
        <w:rPr>
          <w:rFonts w:ascii="Open Sans" w:hAnsi="Open Sans" w:cs="Open Sans"/>
        </w:rPr>
        <w:t xml:space="preserve"> zagotovila ustrezno informacijsko tehnologijo.</w:t>
      </w:r>
    </w:p>
    <w:p w14:paraId="61511A40" w14:textId="77777777" w:rsidR="00EB0C6E" w:rsidRPr="000D2496" w:rsidRDefault="00EB0C6E" w:rsidP="00EB0C6E">
      <w:pPr>
        <w:jc w:val="both"/>
        <w:rPr>
          <w:rFonts w:ascii="Open Sans" w:hAnsi="Open Sans" w:cs="Open Sans"/>
        </w:rPr>
      </w:pPr>
      <w:r w:rsidRPr="000D2496">
        <w:rPr>
          <w:rFonts w:ascii="Open Sans" w:hAnsi="Open Sans" w:cs="Open Sans"/>
        </w:rPr>
        <w:t xml:space="preserve">12.9. Družba nima vzpostavljenih procesov za naročanje zunanjih storitev, potrebnih za delo nadzornega sveta ločeno za storitve, pri katerih družbo zastopa uprava, in storitve, pri katerih družbo zastopa predsednik nadzornega sveta, saj navedeno ni smiselno glede na redkost naročanja tovrstnih storitev. </w:t>
      </w:r>
    </w:p>
    <w:p w14:paraId="7F690507" w14:textId="77777777" w:rsidR="00EB0C6E" w:rsidRPr="000D2496" w:rsidRDefault="00EB0C6E" w:rsidP="00EB0C6E">
      <w:pPr>
        <w:jc w:val="both"/>
        <w:rPr>
          <w:rFonts w:ascii="Open Sans" w:hAnsi="Open Sans" w:cs="Open Sans"/>
        </w:rPr>
      </w:pPr>
    </w:p>
    <w:p w14:paraId="7AF2E070" w14:textId="77777777" w:rsidR="00EB0C6E" w:rsidRPr="000D2496" w:rsidRDefault="00EB0C6E" w:rsidP="00EB0C6E">
      <w:pPr>
        <w:jc w:val="both"/>
        <w:rPr>
          <w:rFonts w:ascii="Open Sans" w:hAnsi="Open Sans" w:cs="Open Sans"/>
        </w:rPr>
      </w:pPr>
      <w:r w:rsidRPr="000D2496">
        <w:rPr>
          <w:rFonts w:ascii="Open Sans" w:hAnsi="Open Sans" w:cs="Open Sans"/>
        </w:rPr>
        <w:t>13. Usposabljanje članov nadzornega sveta</w:t>
      </w:r>
    </w:p>
    <w:p w14:paraId="5299357A" w14:textId="77777777" w:rsidR="00EB0C6E" w:rsidRPr="000D2496" w:rsidRDefault="00EB0C6E" w:rsidP="00EB0C6E">
      <w:pPr>
        <w:jc w:val="both"/>
        <w:rPr>
          <w:rFonts w:ascii="Open Sans" w:hAnsi="Open Sans" w:cs="Open Sans"/>
        </w:rPr>
      </w:pPr>
      <w:r w:rsidRPr="000D2496">
        <w:rPr>
          <w:rFonts w:ascii="Open Sans" w:hAnsi="Open Sans" w:cs="Open Sans"/>
        </w:rPr>
        <w:t>13.1. Nadzorni svet ne sprejema letnega načrta usposabljanja članov nadzornega sveta, saj se člani nadzornega sveta udeležujejo izobraževanj in usposabljanja na podlagi aktualnih razpisanih izobraževanj in seminarjev. Nadzorni svet in uprava družbe pa letno sprejmeta okvirni načrt stroškov izobraževanja.</w:t>
      </w:r>
    </w:p>
    <w:p w14:paraId="5AA56ED9" w14:textId="77777777" w:rsidR="00EB0C6E" w:rsidRPr="000D2496" w:rsidRDefault="00EB0C6E" w:rsidP="00EB0C6E">
      <w:pPr>
        <w:jc w:val="both"/>
        <w:rPr>
          <w:rFonts w:ascii="Open Sans" w:hAnsi="Open Sans" w:cs="Open Sans"/>
        </w:rPr>
      </w:pPr>
    </w:p>
    <w:p w14:paraId="179A5965" w14:textId="77777777" w:rsidR="00EB0C6E" w:rsidRPr="000D2496" w:rsidRDefault="00EB0C6E" w:rsidP="00EB0C6E">
      <w:pPr>
        <w:jc w:val="both"/>
        <w:rPr>
          <w:rFonts w:ascii="Open Sans" w:hAnsi="Open Sans" w:cs="Open Sans"/>
        </w:rPr>
      </w:pPr>
      <w:r w:rsidRPr="000D2496">
        <w:rPr>
          <w:rFonts w:ascii="Open Sans" w:hAnsi="Open Sans" w:cs="Open Sans"/>
        </w:rPr>
        <w:t>15. Predsednik nadzornega sveta</w:t>
      </w:r>
    </w:p>
    <w:p w14:paraId="17643403" w14:textId="77777777" w:rsidR="00EB0C6E" w:rsidRPr="000D2496" w:rsidRDefault="00EB0C6E" w:rsidP="00EB0C6E">
      <w:pPr>
        <w:jc w:val="both"/>
        <w:rPr>
          <w:rFonts w:ascii="Open Sans" w:hAnsi="Open Sans" w:cs="Open Sans"/>
        </w:rPr>
      </w:pPr>
      <w:r w:rsidRPr="000D2496">
        <w:rPr>
          <w:rFonts w:ascii="Open Sans" w:hAnsi="Open Sans" w:cs="Open Sans"/>
        </w:rPr>
        <w:t xml:space="preserve">15.3. Zaradi zagotavljanja ustrezne kontinuitete dela ter lažje koordinacije in izvedbe potrebnih postopkov revizijske komisije je predsednik nadzornega sveta družbe tudi predsednik revizijske komisije nadzornega sveta. </w:t>
      </w:r>
    </w:p>
    <w:p w14:paraId="7A2C1307" w14:textId="77777777" w:rsidR="00EB0C6E" w:rsidRPr="000D2496" w:rsidRDefault="00EB0C6E" w:rsidP="00EB0C6E">
      <w:pPr>
        <w:jc w:val="both"/>
        <w:rPr>
          <w:rFonts w:ascii="Open Sans" w:hAnsi="Open Sans" w:cs="Open Sans"/>
        </w:rPr>
      </w:pPr>
    </w:p>
    <w:p w14:paraId="07E2FFBD" w14:textId="77777777" w:rsidR="0029199F" w:rsidRPr="000D2496" w:rsidRDefault="0029199F" w:rsidP="00EB0C6E">
      <w:pPr>
        <w:jc w:val="both"/>
        <w:rPr>
          <w:rFonts w:ascii="Open Sans" w:hAnsi="Open Sans" w:cs="Open Sans"/>
        </w:rPr>
      </w:pPr>
    </w:p>
    <w:p w14:paraId="2A79A371" w14:textId="77777777" w:rsidR="0029199F" w:rsidRPr="000D2496" w:rsidRDefault="0029199F" w:rsidP="00EB0C6E">
      <w:pPr>
        <w:jc w:val="both"/>
        <w:rPr>
          <w:rFonts w:ascii="Open Sans" w:hAnsi="Open Sans" w:cs="Open Sans"/>
        </w:rPr>
      </w:pPr>
    </w:p>
    <w:p w14:paraId="177FFF38" w14:textId="77777777" w:rsidR="00EB0C6E" w:rsidRPr="000D2496" w:rsidRDefault="00EB0C6E" w:rsidP="00EB0C6E">
      <w:pPr>
        <w:jc w:val="both"/>
        <w:rPr>
          <w:rFonts w:ascii="Open Sans" w:hAnsi="Open Sans" w:cs="Open Sans"/>
        </w:rPr>
      </w:pPr>
      <w:r w:rsidRPr="000D2496">
        <w:rPr>
          <w:rFonts w:ascii="Open Sans" w:hAnsi="Open Sans" w:cs="Open Sans"/>
        </w:rPr>
        <w:t>19. Vodenje družbe</w:t>
      </w:r>
    </w:p>
    <w:p w14:paraId="246EC0AA" w14:textId="77777777" w:rsidR="00EB0C6E" w:rsidRPr="000D2496" w:rsidRDefault="00EB0C6E" w:rsidP="00EB0C6E">
      <w:pPr>
        <w:jc w:val="both"/>
        <w:rPr>
          <w:rFonts w:ascii="Open Sans" w:hAnsi="Open Sans" w:cs="Open Sans"/>
        </w:rPr>
      </w:pPr>
      <w:r w:rsidRPr="000D2496">
        <w:rPr>
          <w:rFonts w:ascii="Open Sans" w:hAnsi="Open Sans" w:cs="Open Sans"/>
        </w:rPr>
        <w:lastRenderedPageBreak/>
        <w:t>19.6. Člani uprave niso pridobili soglasja nadzornega sveta pred imenovanjem v organe vodenja ali nadzora v drugih gospodarskih družbah. Člani uprave so o imenovanjih v omenjen organe nadzorni svet obvestili nemudoma pisno po imenovanju ali prenehanju funkcije v organih vodenja in nadzora drugih pravnih oseb.</w:t>
      </w:r>
    </w:p>
    <w:p w14:paraId="47E211E0" w14:textId="77777777" w:rsidR="00EB0C6E" w:rsidRPr="000D2496" w:rsidRDefault="00EB0C6E" w:rsidP="00EB0C6E">
      <w:pPr>
        <w:jc w:val="both"/>
        <w:rPr>
          <w:rFonts w:ascii="Open Sans" w:hAnsi="Open Sans" w:cs="Open Sans"/>
        </w:rPr>
      </w:pPr>
    </w:p>
    <w:p w14:paraId="46D4893A" w14:textId="77777777" w:rsidR="00EB0C6E" w:rsidRPr="000D2496" w:rsidRDefault="00EB0C6E" w:rsidP="00EB0C6E">
      <w:pPr>
        <w:jc w:val="both"/>
        <w:rPr>
          <w:rFonts w:ascii="Open Sans" w:hAnsi="Open Sans" w:cs="Open Sans"/>
        </w:rPr>
      </w:pPr>
      <w:r w:rsidRPr="000D2496">
        <w:rPr>
          <w:rFonts w:ascii="Open Sans" w:hAnsi="Open Sans" w:cs="Open Sans"/>
        </w:rPr>
        <w:t>26. Revizija in sistem notranjih kontrol</w:t>
      </w:r>
    </w:p>
    <w:p w14:paraId="62A16184" w14:textId="77777777" w:rsidR="00EB0C6E" w:rsidRPr="000D2496" w:rsidRDefault="00EB0C6E" w:rsidP="00EB0C6E">
      <w:pPr>
        <w:jc w:val="both"/>
        <w:rPr>
          <w:rFonts w:ascii="Open Sans" w:hAnsi="Open Sans" w:cs="Open Sans"/>
        </w:rPr>
      </w:pPr>
      <w:r w:rsidRPr="000D2496">
        <w:rPr>
          <w:rFonts w:ascii="Open Sans" w:hAnsi="Open Sans" w:cs="Open Sans"/>
        </w:rPr>
        <w:t>26.2 Družba nima vzpostavljene službe notranje revizije,  z drugimi mehanizmi notranjih kontrol tekoče spremlja upravljanje s tveganji ter varuje premoženje in koristi delničarjev.</w:t>
      </w:r>
    </w:p>
    <w:p w14:paraId="6426F0EC" w14:textId="77777777" w:rsidR="00EB0C6E" w:rsidRPr="000D2496" w:rsidRDefault="00EB0C6E" w:rsidP="00EB0C6E">
      <w:pPr>
        <w:jc w:val="both"/>
        <w:rPr>
          <w:rFonts w:ascii="Open Sans" w:hAnsi="Open Sans" w:cs="Open Sans"/>
        </w:rPr>
      </w:pPr>
    </w:p>
    <w:p w14:paraId="44F5841F" w14:textId="77777777" w:rsidR="00EB0C6E" w:rsidRPr="000D2496" w:rsidRDefault="00EB0C6E" w:rsidP="00EB0C6E">
      <w:pPr>
        <w:jc w:val="both"/>
        <w:rPr>
          <w:rFonts w:ascii="Open Sans" w:hAnsi="Open Sans" w:cs="Open Sans"/>
        </w:rPr>
      </w:pPr>
      <w:r w:rsidRPr="000D2496">
        <w:rPr>
          <w:rFonts w:ascii="Open Sans" w:hAnsi="Open Sans" w:cs="Open Sans"/>
        </w:rPr>
        <w:t>28. Obveščanje javnosti</w:t>
      </w:r>
    </w:p>
    <w:p w14:paraId="19DA72CE" w14:textId="77777777" w:rsidR="00EB0C6E" w:rsidRPr="000D2496" w:rsidRDefault="00EB0C6E" w:rsidP="00EB0C6E">
      <w:pPr>
        <w:jc w:val="both"/>
        <w:rPr>
          <w:rFonts w:ascii="Open Sans" w:hAnsi="Open Sans" w:cs="Open Sans"/>
        </w:rPr>
      </w:pPr>
      <w:r w:rsidRPr="000D2496">
        <w:rPr>
          <w:rFonts w:ascii="Open Sans" w:hAnsi="Open Sans" w:cs="Open Sans"/>
        </w:rPr>
        <w:t>28.3. Javne objave in sporočila družba doslej ni prevajala v angleški jezik. Tujih delničarjev družba nima, zato bo ob upoštevanju stroškovnega vidika zaenkrat obdržala uveljavljeno prakso.</w:t>
      </w:r>
    </w:p>
    <w:p w14:paraId="6C72FEA2" w14:textId="77777777" w:rsidR="00EB0C6E" w:rsidRPr="000D2496" w:rsidRDefault="00EB0C6E" w:rsidP="00EB0C6E">
      <w:pPr>
        <w:jc w:val="both"/>
        <w:rPr>
          <w:rFonts w:ascii="Open Sans" w:hAnsi="Open Sans" w:cs="Open Sans"/>
        </w:rPr>
      </w:pPr>
    </w:p>
    <w:p w14:paraId="129F76BA" w14:textId="77777777" w:rsidR="00EB0C6E" w:rsidRPr="000D2496" w:rsidRDefault="00EB0C6E" w:rsidP="00EB0C6E">
      <w:pPr>
        <w:jc w:val="both"/>
        <w:rPr>
          <w:rFonts w:ascii="Open Sans" w:hAnsi="Open Sans" w:cs="Open Sans"/>
        </w:rPr>
      </w:pPr>
      <w:r w:rsidRPr="000D2496">
        <w:rPr>
          <w:rFonts w:ascii="Open Sans" w:hAnsi="Open Sans" w:cs="Open Sans"/>
        </w:rPr>
        <w:t>29. Javna objava pomembnih informacij</w:t>
      </w:r>
    </w:p>
    <w:p w14:paraId="0A9A8A60" w14:textId="77777777" w:rsidR="00EB0C6E" w:rsidRPr="000D2496" w:rsidRDefault="00EB0C6E" w:rsidP="00EB0C6E">
      <w:pPr>
        <w:jc w:val="both"/>
        <w:rPr>
          <w:rFonts w:ascii="Open Sans" w:hAnsi="Open Sans" w:cs="Open Sans"/>
        </w:rPr>
      </w:pPr>
      <w:r w:rsidRPr="000D2496">
        <w:rPr>
          <w:rFonts w:ascii="Open Sans" w:hAnsi="Open Sans" w:cs="Open Sans"/>
        </w:rPr>
        <w:t>29.8 Družba objavlja polletne in letne računovodske izkaze zgolj na podlagi slovenskih računovodskih standardov (SRS), ne pa tudi na podlagi mednarodnih računovodskih standardov računovodskega poročanja (MSRP). Družba objavlja izkaze skladno z veljavno zakonodajo, ki dovoljuje uporabo slovenskih računovodskih standardov (SRS).</w:t>
      </w:r>
    </w:p>
    <w:p w14:paraId="65BB3F51" w14:textId="77777777" w:rsidR="00EB0C6E" w:rsidRPr="000D2496" w:rsidRDefault="00EB0C6E" w:rsidP="00EB0C6E"/>
    <w:p w14:paraId="5B78FA57" w14:textId="77777777" w:rsidR="008F1C8A" w:rsidRPr="000D2496" w:rsidRDefault="008F1C8A">
      <w:pPr>
        <w:rPr>
          <w:rFonts w:ascii="Open Sans" w:hAnsi="Open Sans" w:cs="Open Sans"/>
        </w:rPr>
      </w:pPr>
    </w:p>
    <w:p w14:paraId="4B28B55F" w14:textId="16A0B3A4" w:rsidR="008F1C8A" w:rsidRDefault="008F1C8A">
      <w:pPr>
        <w:rPr>
          <w:rFonts w:ascii="Open Sans" w:hAnsi="Open Sans" w:cs="Open Sans"/>
        </w:rPr>
      </w:pPr>
      <w:r w:rsidRPr="000D2496">
        <w:rPr>
          <w:rFonts w:ascii="Open Sans" w:hAnsi="Open Sans" w:cs="Open Sans"/>
        </w:rPr>
        <w:t>Ta izjava predstavlja del Izjave o upravljanju, ki je sestavni del Letnega poročila družbe Nama d.d. Ljubljana za poslovno leto 201</w:t>
      </w:r>
      <w:r w:rsidR="009A09A5">
        <w:rPr>
          <w:rFonts w:ascii="Open Sans" w:hAnsi="Open Sans" w:cs="Open Sans"/>
        </w:rPr>
        <w:t>9</w:t>
      </w:r>
      <w:r w:rsidRPr="000D2496">
        <w:rPr>
          <w:rFonts w:ascii="Open Sans" w:hAnsi="Open Sans" w:cs="Open Sans"/>
        </w:rPr>
        <w:t>.</w:t>
      </w:r>
    </w:p>
    <w:p w14:paraId="73C2C836" w14:textId="77777777" w:rsidR="000D2496" w:rsidRDefault="000D2496">
      <w:pPr>
        <w:rPr>
          <w:rFonts w:ascii="Open Sans" w:hAnsi="Open Sans" w:cs="Open Sans"/>
        </w:rPr>
      </w:pPr>
    </w:p>
    <w:p w14:paraId="1287C37E" w14:textId="77777777" w:rsidR="000D2496" w:rsidRDefault="000D2496">
      <w:pPr>
        <w:rPr>
          <w:rFonts w:ascii="Open Sans" w:hAnsi="Open Sans" w:cs="Open Sans"/>
        </w:rPr>
      </w:pPr>
    </w:p>
    <w:p w14:paraId="7D63869F" w14:textId="77777777" w:rsidR="000D2496" w:rsidRDefault="000D2496">
      <w:pPr>
        <w:rPr>
          <w:rFonts w:ascii="Open Sans" w:hAnsi="Open Sans" w:cs="Open Sans"/>
        </w:rPr>
      </w:pPr>
    </w:p>
    <w:p w14:paraId="6E307766" w14:textId="77777777" w:rsidR="000D2496" w:rsidRDefault="000D2496">
      <w:pPr>
        <w:rPr>
          <w:rFonts w:ascii="Open Sans" w:hAnsi="Open Sans" w:cs="Open Sans"/>
        </w:rPr>
      </w:pPr>
    </w:p>
    <w:p w14:paraId="546164C9" w14:textId="77777777" w:rsidR="000D2496" w:rsidRDefault="000D2496">
      <w:pPr>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Uprava in Nadzorni svet družbe</w:t>
      </w:r>
    </w:p>
    <w:p w14:paraId="3764600B" w14:textId="77777777" w:rsidR="000D2496" w:rsidRDefault="000D2496">
      <w:pPr>
        <w:rPr>
          <w:rFonts w:ascii="Open Sans" w:hAnsi="Open Sans" w:cs="Open Sans"/>
        </w:rPr>
      </w:pPr>
    </w:p>
    <w:p w14:paraId="20C5447D" w14:textId="77777777" w:rsidR="000D2496" w:rsidRPr="000D2496" w:rsidRDefault="000D2496">
      <w:pPr>
        <w:rPr>
          <w:rFonts w:ascii="Open Sans" w:hAnsi="Open Sans" w:cs="Open Sans"/>
        </w:rPr>
      </w:pPr>
    </w:p>
    <w:sectPr w:rsidR="000D2496" w:rsidRPr="000D2496" w:rsidSect="002B5652">
      <w:headerReference w:type="default" r:id="rId7"/>
      <w:footerReference w:type="default" r:id="rId8"/>
      <w:pgSz w:w="11906" w:h="16838"/>
      <w:pgMar w:top="2268"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E101A" w14:textId="77777777" w:rsidR="00151266" w:rsidRDefault="00151266" w:rsidP="002B5652">
      <w:r>
        <w:separator/>
      </w:r>
    </w:p>
  </w:endnote>
  <w:endnote w:type="continuationSeparator" w:id="0">
    <w:p w14:paraId="0F0C8263" w14:textId="77777777" w:rsidR="00151266" w:rsidRDefault="00151266" w:rsidP="002B5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altName w:val="Segoe UI"/>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E7EF1" w14:textId="77777777" w:rsidR="002B5652" w:rsidRDefault="002B5652" w:rsidP="002B5652">
    <w:pPr>
      <w:pStyle w:val="Noga"/>
      <w:ind w:lef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EA561" w14:textId="77777777" w:rsidR="00151266" w:rsidRDefault="00151266" w:rsidP="002B5652">
      <w:r>
        <w:separator/>
      </w:r>
    </w:p>
  </w:footnote>
  <w:footnote w:type="continuationSeparator" w:id="0">
    <w:p w14:paraId="4E78C7E4" w14:textId="77777777" w:rsidR="00151266" w:rsidRDefault="00151266" w:rsidP="002B5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65561" w14:textId="77777777" w:rsidR="002B5652" w:rsidRDefault="00EB0C6E" w:rsidP="002B5652">
    <w:pPr>
      <w:pStyle w:val="Glava"/>
      <w:tabs>
        <w:tab w:val="clear" w:pos="9072"/>
      </w:tabs>
      <w:ind w:left="-1134" w:right="-1134"/>
    </w:pPr>
    <w:r>
      <w:rPr>
        <w:noProof/>
      </w:rPr>
      <w:drawing>
        <wp:anchor distT="0" distB="0" distL="114300" distR="114300" simplePos="0" relativeHeight="251657728" behindDoc="1" locked="0" layoutInCell="1" allowOverlap="1" wp14:anchorId="7D76C8E5" wp14:editId="5105FFB0">
          <wp:simplePos x="0" y="0"/>
          <wp:positionH relativeFrom="column">
            <wp:posOffset>-3175</wp:posOffset>
          </wp:positionH>
          <wp:positionV relativeFrom="paragraph">
            <wp:posOffset>-45085</wp:posOffset>
          </wp:positionV>
          <wp:extent cx="5760720" cy="819150"/>
          <wp:effectExtent l="0" t="0" r="0" b="0"/>
          <wp:wrapSquare wrapText="bothSides"/>
          <wp:docPr id="1" name="Slika 1" descr="Nama_dopisni-list_gl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ma_dopisni-list_gl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191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D946B4"/>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C05"/>
    <w:rsid w:val="00012C05"/>
    <w:rsid w:val="000702ED"/>
    <w:rsid w:val="000D2496"/>
    <w:rsid w:val="00151266"/>
    <w:rsid w:val="0029199F"/>
    <w:rsid w:val="002B5652"/>
    <w:rsid w:val="005E36AE"/>
    <w:rsid w:val="00674981"/>
    <w:rsid w:val="007F2633"/>
    <w:rsid w:val="00866C1B"/>
    <w:rsid w:val="008F1C8A"/>
    <w:rsid w:val="00902B5C"/>
    <w:rsid w:val="009406A0"/>
    <w:rsid w:val="009A09A5"/>
    <w:rsid w:val="009C5EF7"/>
    <w:rsid w:val="00A275DC"/>
    <w:rsid w:val="00B53741"/>
    <w:rsid w:val="00BC2947"/>
    <w:rsid w:val="00D244C2"/>
    <w:rsid w:val="00D87277"/>
    <w:rsid w:val="00EB0C6E"/>
    <w:rsid w:val="00F9240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1D8CDD"/>
  <w15:chartTrackingRefBased/>
  <w15:docId w15:val="{FAC60A12-5CA6-41E5-94E5-45FD87874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B0C6E"/>
    <w:pPr>
      <w:spacing w:after="0" w:line="240" w:lineRule="auto"/>
    </w:pPr>
    <w:rPr>
      <w:rFonts w:ascii="Times New Roman" w:eastAsia="Times New Roman" w:hAnsi="Times New Roman" w:cs="Times New Roman"/>
      <w:sz w:val="20"/>
      <w:szCs w:val="20"/>
      <w:lang w:eastAsia="sl-SI"/>
    </w:rPr>
  </w:style>
  <w:style w:type="paragraph" w:styleId="Naslov3">
    <w:name w:val="heading 3"/>
    <w:basedOn w:val="Navaden"/>
    <w:next w:val="Navaden"/>
    <w:link w:val="Naslov3Znak"/>
    <w:unhideWhenUsed/>
    <w:qFormat/>
    <w:rsid w:val="00EB0C6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B5652"/>
    <w:pPr>
      <w:tabs>
        <w:tab w:val="center" w:pos="4536"/>
        <w:tab w:val="right" w:pos="9072"/>
      </w:tabs>
    </w:pPr>
  </w:style>
  <w:style w:type="character" w:customStyle="1" w:styleId="GlavaZnak">
    <w:name w:val="Glava Znak"/>
    <w:basedOn w:val="Privzetapisavaodstavka"/>
    <w:link w:val="Glava"/>
    <w:uiPriority w:val="99"/>
    <w:rsid w:val="002B5652"/>
  </w:style>
  <w:style w:type="paragraph" w:styleId="Noga">
    <w:name w:val="footer"/>
    <w:basedOn w:val="Navaden"/>
    <w:link w:val="NogaZnak"/>
    <w:uiPriority w:val="99"/>
    <w:unhideWhenUsed/>
    <w:rsid w:val="002B5652"/>
    <w:pPr>
      <w:tabs>
        <w:tab w:val="center" w:pos="4536"/>
        <w:tab w:val="right" w:pos="9072"/>
      </w:tabs>
    </w:pPr>
  </w:style>
  <w:style w:type="character" w:customStyle="1" w:styleId="NogaZnak">
    <w:name w:val="Noga Znak"/>
    <w:basedOn w:val="Privzetapisavaodstavka"/>
    <w:link w:val="Noga"/>
    <w:uiPriority w:val="99"/>
    <w:rsid w:val="002B5652"/>
  </w:style>
  <w:style w:type="character" w:customStyle="1" w:styleId="Naslov3Znak">
    <w:name w:val="Naslov 3 Znak"/>
    <w:basedOn w:val="Privzetapisavaodstavka"/>
    <w:link w:val="Naslov3"/>
    <w:rsid w:val="00EB0C6E"/>
    <w:rPr>
      <w:rFonts w:asciiTheme="majorHAnsi" w:eastAsiaTheme="majorEastAsia" w:hAnsiTheme="majorHAnsi" w:cstheme="majorBidi"/>
      <w:color w:val="1F4D78" w:themeColor="accent1" w:themeShade="7F"/>
      <w:sz w:val="24"/>
      <w:szCs w:val="24"/>
      <w:lang w:eastAsia="sl-SI"/>
    </w:rPr>
  </w:style>
  <w:style w:type="paragraph" w:customStyle="1" w:styleId="Standard">
    <w:name w:val="Standard"/>
    <w:rsid w:val="00EB0C6E"/>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US" w:eastAsia="sl-SI"/>
    </w:rPr>
  </w:style>
  <w:style w:type="paragraph" w:styleId="Odstavekseznama">
    <w:name w:val="List Paragraph"/>
    <w:basedOn w:val="Navaden"/>
    <w:uiPriority w:val="34"/>
    <w:qFormat/>
    <w:rsid w:val="00EB0C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CGP\koncni%20materiali\admin%20paket\Nama_dopisni-list-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Nama_dopisni-list-2018.dotx</Template>
  <TotalTime>0</TotalTime>
  <Pages>2</Pages>
  <Words>574</Words>
  <Characters>3276</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Maruša Komac</dc:creator>
  <cp:keywords/>
  <dc:description/>
  <cp:lastModifiedBy>Nataša Senić</cp:lastModifiedBy>
  <cp:revision>2</cp:revision>
  <dcterms:created xsi:type="dcterms:W3CDTF">2020-03-27T11:13:00Z</dcterms:created>
  <dcterms:modified xsi:type="dcterms:W3CDTF">2020-03-27T11:13:00Z</dcterms:modified>
</cp:coreProperties>
</file>