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FF3D3" w14:textId="77777777" w:rsidR="00E6113F" w:rsidRPr="00E6113F" w:rsidRDefault="00E6113F" w:rsidP="00E6113F">
      <w:pPr>
        <w:pStyle w:val="PlainText"/>
        <w:jc w:val="both"/>
        <w:rPr>
          <w:rFonts w:asciiTheme="minorHAnsi" w:hAnsiTheme="minorHAnsi" w:cstheme="minorHAnsi"/>
          <w:szCs w:val="22"/>
        </w:rPr>
      </w:pPr>
      <w:r w:rsidRPr="00E6113F">
        <w:rPr>
          <w:rFonts w:asciiTheme="minorHAnsi" w:hAnsiTheme="minorHAnsi" w:cstheme="minorHAnsi"/>
          <w:szCs w:val="22"/>
        </w:rPr>
        <w:t xml:space="preserve">Sporočilo za javnost </w:t>
      </w:r>
    </w:p>
    <w:p w14:paraId="7859AE68" w14:textId="77777777" w:rsidR="00E6113F" w:rsidRPr="00E6113F" w:rsidRDefault="00E6113F" w:rsidP="00E6113F">
      <w:pPr>
        <w:pStyle w:val="PlainText"/>
        <w:jc w:val="both"/>
        <w:rPr>
          <w:rFonts w:asciiTheme="minorHAnsi" w:hAnsiTheme="minorHAnsi" w:cstheme="minorHAnsi"/>
          <w:szCs w:val="22"/>
        </w:rPr>
      </w:pPr>
    </w:p>
    <w:p w14:paraId="2384B3EF" w14:textId="15917887" w:rsidR="00E6113F" w:rsidRPr="00E6113F" w:rsidRDefault="00E6113F" w:rsidP="00E6113F">
      <w:pPr>
        <w:pStyle w:val="PlainText"/>
        <w:jc w:val="both"/>
        <w:rPr>
          <w:rFonts w:asciiTheme="minorHAnsi" w:hAnsiTheme="minorHAnsi" w:cstheme="minorHAnsi"/>
          <w:szCs w:val="22"/>
        </w:rPr>
      </w:pPr>
      <w:r w:rsidRPr="00E6113F">
        <w:rPr>
          <w:rFonts w:asciiTheme="minorHAnsi" w:hAnsiTheme="minorHAnsi" w:cstheme="minorHAnsi"/>
          <w:szCs w:val="22"/>
        </w:rPr>
        <w:t xml:space="preserve">Na podlagi določil Pravil Ljubljanske borze, </w:t>
      </w:r>
      <w:proofErr w:type="spellStart"/>
      <w:r w:rsidRPr="00E6113F">
        <w:rPr>
          <w:rFonts w:asciiTheme="minorHAnsi" w:hAnsiTheme="minorHAnsi" w:cstheme="minorHAnsi"/>
          <w:szCs w:val="22"/>
        </w:rPr>
        <w:t>d.d</w:t>
      </w:r>
      <w:proofErr w:type="spellEnd"/>
      <w:r w:rsidRPr="00E6113F">
        <w:rPr>
          <w:rFonts w:asciiTheme="minorHAnsi" w:hAnsiTheme="minorHAnsi" w:cstheme="minorHAnsi"/>
          <w:szCs w:val="22"/>
        </w:rPr>
        <w:t xml:space="preserve">., Ljubljana in veljavne zakonodaje Družba za </w:t>
      </w:r>
      <w:r w:rsidR="00433401">
        <w:rPr>
          <w:rFonts w:asciiTheme="minorHAnsi" w:hAnsiTheme="minorHAnsi" w:cstheme="minorHAnsi"/>
          <w:szCs w:val="22"/>
        </w:rPr>
        <w:t xml:space="preserve">upravljanje terjatev bank, </w:t>
      </w:r>
      <w:proofErr w:type="spellStart"/>
      <w:r w:rsidR="00433401">
        <w:rPr>
          <w:rFonts w:asciiTheme="minorHAnsi" w:hAnsiTheme="minorHAnsi" w:cstheme="minorHAnsi"/>
          <w:szCs w:val="22"/>
        </w:rPr>
        <w:t>d.d</w:t>
      </w:r>
      <w:proofErr w:type="spellEnd"/>
      <w:r w:rsidR="00433401">
        <w:rPr>
          <w:rFonts w:asciiTheme="minorHAnsi" w:hAnsiTheme="minorHAnsi" w:cstheme="minorHAnsi"/>
          <w:szCs w:val="22"/>
        </w:rPr>
        <w:t>.</w:t>
      </w:r>
      <w:r w:rsidRPr="00E6113F">
        <w:rPr>
          <w:rFonts w:asciiTheme="minorHAnsi" w:hAnsiTheme="minorHAnsi" w:cstheme="minorHAnsi"/>
          <w:szCs w:val="22"/>
        </w:rPr>
        <w:t>, objavlja nerevidirane poslovne rezultate 2019.</w:t>
      </w:r>
    </w:p>
    <w:p w14:paraId="65020F3E" w14:textId="1B0F9FFB" w:rsidR="00F3293C" w:rsidRDefault="00F3293C" w:rsidP="00E6113F">
      <w:pPr>
        <w:pStyle w:val="PlainText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A70BA93" w14:textId="5DD8511E" w:rsidR="00E6113F" w:rsidRPr="00E6113F" w:rsidRDefault="00E6113F" w:rsidP="00E6113F">
      <w:pPr>
        <w:pStyle w:val="Plain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E6113F">
        <w:rPr>
          <w:rFonts w:asciiTheme="minorHAnsi" w:hAnsiTheme="minorHAnsi" w:cstheme="minorHAnsi"/>
          <w:b/>
          <w:sz w:val="32"/>
          <w:szCs w:val="32"/>
        </w:rPr>
        <w:t xml:space="preserve">DUTB v 2019 poslovala </w:t>
      </w:r>
      <w:r w:rsidR="00851671">
        <w:rPr>
          <w:rFonts w:asciiTheme="minorHAnsi" w:hAnsiTheme="minorHAnsi" w:cstheme="minorHAnsi"/>
          <w:b/>
          <w:sz w:val="32"/>
          <w:szCs w:val="32"/>
        </w:rPr>
        <w:t>uspešno</w:t>
      </w:r>
      <w:r w:rsidR="00A80460">
        <w:rPr>
          <w:rFonts w:asciiTheme="minorHAnsi" w:hAnsiTheme="minorHAnsi" w:cstheme="minorHAnsi"/>
          <w:b/>
          <w:sz w:val="32"/>
          <w:szCs w:val="32"/>
        </w:rPr>
        <w:t xml:space="preserve"> in nad zastavljenimi cilji</w:t>
      </w:r>
    </w:p>
    <w:p w14:paraId="71B25A36" w14:textId="77777777" w:rsidR="00E6113F" w:rsidRPr="00E6113F" w:rsidRDefault="00E6113F" w:rsidP="00E6113F">
      <w:pPr>
        <w:pStyle w:val="PlainText"/>
        <w:jc w:val="both"/>
        <w:rPr>
          <w:rFonts w:asciiTheme="minorHAnsi" w:hAnsiTheme="minorHAnsi" w:cstheme="minorHAnsi"/>
          <w:szCs w:val="22"/>
        </w:rPr>
      </w:pPr>
    </w:p>
    <w:p w14:paraId="623BCE63" w14:textId="031169F7" w:rsidR="00E6113F" w:rsidRPr="00E6113F" w:rsidRDefault="00E6113F" w:rsidP="002E6B9C">
      <w:pPr>
        <w:pStyle w:val="Body"/>
        <w:jc w:val="both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r w:rsidRPr="00DE5BE2">
        <w:rPr>
          <w:rFonts w:asciiTheme="minorHAnsi" w:hAnsiTheme="minorHAnsi" w:cstheme="minorHAnsi"/>
          <w:b/>
          <w:sz w:val="24"/>
          <w:szCs w:val="24"/>
        </w:rPr>
        <w:t>Ljubljana,</w:t>
      </w:r>
      <w:r w:rsidR="005F35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6477">
        <w:rPr>
          <w:rFonts w:asciiTheme="minorHAnsi" w:hAnsiTheme="minorHAnsi" w:cstheme="minorHAnsi"/>
          <w:b/>
          <w:sz w:val="24"/>
          <w:szCs w:val="24"/>
        </w:rPr>
        <w:t xml:space="preserve">29. </w:t>
      </w:r>
      <w:r w:rsidR="00882727">
        <w:rPr>
          <w:rFonts w:asciiTheme="minorHAnsi" w:hAnsiTheme="minorHAnsi" w:cstheme="minorHAnsi"/>
          <w:b/>
          <w:sz w:val="24"/>
          <w:szCs w:val="24"/>
        </w:rPr>
        <w:t>5</w:t>
      </w:r>
      <w:r w:rsidRPr="00E6113F">
        <w:rPr>
          <w:rFonts w:asciiTheme="minorHAnsi" w:hAnsiTheme="minorHAnsi" w:cstheme="minorHAnsi"/>
          <w:b/>
          <w:sz w:val="24"/>
          <w:szCs w:val="24"/>
        </w:rPr>
        <w:t>.</w:t>
      </w:r>
      <w:r w:rsidR="00D864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6113F">
        <w:rPr>
          <w:rFonts w:asciiTheme="minorHAnsi" w:hAnsiTheme="minorHAnsi" w:cstheme="minorHAnsi"/>
          <w:b/>
          <w:sz w:val="24"/>
          <w:szCs w:val="24"/>
        </w:rPr>
        <w:t xml:space="preserve">2020 – </w:t>
      </w:r>
      <w:r w:rsidR="00603ABA">
        <w:rPr>
          <w:rFonts w:asciiTheme="minorHAnsi" w:hAnsiTheme="minorHAnsi" w:cstheme="minorHAnsi"/>
          <w:b/>
          <w:sz w:val="24"/>
          <w:szCs w:val="24"/>
        </w:rPr>
        <w:t xml:space="preserve">Upravni odbor </w:t>
      </w:r>
      <w:r w:rsidRPr="00E6113F">
        <w:rPr>
          <w:rFonts w:asciiTheme="minorHAnsi" w:hAnsiTheme="minorHAnsi" w:cstheme="minorHAnsi"/>
          <w:b/>
          <w:sz w:val="24"/>
          <w:szCs w:val="24"/>
        </w:rPr>
        <w:t>Družb</w:t>
      </w:r>
      <w:r w:rsidR="00603ABA">
        <w:rPr>
          <w:rFonts w:asciiTheme="minorHAnsi" w:hAnsiTheme="minorHAnsi" w:cstheme="minorHAnsi"/>
          <w:b/>
          <w:sz w:val="24"/>
          <w:szCs w:val="24"/>
        </w:rPr>
        <w:t>e</w:t>
      </w:r>
      <w:r w:rsidRPr="00E6113F">
        <w:rPr>
          <w:rFonts w:asciiTheme="minorHAnsi" w:hAnsiTheme="minorHAnsi" w:cstheme="minorHAnsi"/>
          <w:b/>
          <w:sz w:val="24"/>
          <w:szCs w:val="24"/>
        </w:rPr>
        <w:t xml:space="preserve"> za upravljanje terjatev bank (DUTB) </w:t>
      </w:r>
      <w:r w:rsidR="00BB16CC">
        <w:rPr>
          <w:rFonts w:asciiTheme="minorHAnsi" w:hAnsiTheme="minorHAnsi" w:cstheme="minorHAnsi"/>
          <w:b/>
          <w:sz w:val="24"/>
          <w:szCs w:val="24"/>
        </w:rPr>
        <w:t xml:space="preserve">se </w:t>
      </w:r>
      <w:r w:rsidRPr="00E6113F">
        <w:rPr>
          <w:rFonts w:asciiTheme="minorHAnsi" w:hAnsiTheme="minorHAnsi" w:cstheme="minorHAnsi"/>
          <w:b/>
          <w:sz w:val="24"/>
          <w:szCs w:val="24"/>
        </w:rPr>
        <w:t xml:space="preserve">je </w:t>
      </w:r>
      <w:r w:rsidR="00603ABA">
        <w:rPr>
          <w:rFonts w:asciiTheme="minorHAnsi" w:hAnsiTheme="minorHAnsi" w:cstheme="minorHAnsi"/>
          <w:b/>
          <w:sz w:val="24"/>
          <w:szCs w:val="24"/>
        </w:rPr>
        <w:t xml:space="preserve">seznanil </w:t>
      </w:r>
      <w:r w:rsidR="008B29A7">
        <w:rPr>
          <w:rFonts w:asciiTheme="minorHAnsi" w:hAnsiTheme="minorHAnsi" w:cstheme="minorHAnsi"/>
          <w:b/>
          <w:sz w:val="24"/>
          <w:szCs w:val="24"/>
        </w:rPr>
        <w:t xml:space="preserve">s preliminarnimi </w:t>
      </w:r>
      <w:r w:rsidR="00263166">
        <w:rPr>
          <w:rFonts w:asciiTheme="minorHAnsi" w:hAnsiTheme="minorHAnsi" w:cstheme="minorHAnsi"/>
          <w:b/>
          <w:sz w:val="24"/>
          <w:szCs w:val="24"/>
        </w:rPr>
        <w:t xml:space="preserve">nerevidiranimi </w:t>
      </w:r>
      <w:r w:rsidR="008632A2">
        <w:rPr>
          <w:rFonts w:asciiTheme="minorHAnsi" w:hAnsiTheme="minorHAnsi" w:cstheme="minorHAnsi"/>
          <w:b/>
          <w:sz w:val="24"/>
          <w:szCs w:val="24"/>
        </w:rPr>
        <w:t>rezultati poslovanja družbe v letu</w:t>
      </w:r>
      <w:r w:rsidR="00603ABA">
        <w:rPr>
          <w:rFonts w:asciiTheme="minorHAnsi" w:hAnsiTheme="minorHAnsi" w:cstheme="minorHAnsi"/>
          <w:b/>
          <w:sz w:val="24"/>
          <w:szCs w:val="24"/>
        </w:rPr>
        <w:t xml:space="preserve"> 2019</w:t>
      </w:r>
      <w:r w:rsidR="006627AB">
        <w:rPr>
          <w:rFonts w:asciiTheme="minorHAnsi" w:hAnsiTheme="minorHAnsi" w:cstheme="minorHAnsi"/>
          <w:b/>
          <w:sz w:val="24"/>
          <w:szCs w:val="24"/>
        </w:rPr>
        <w:t>.</w:t>
      </w:r>
      <w:r w:rsidR="000C12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03ABA">
        <w:rPr>
          <w:rFonts w:asciiTheme="minorHAnsi" w:hAnsiTheme="minorHAnsi" w:cstheme="minorHAnsi"/>
          <w:b/>
          <w:sz w:val="24"/>
          <w:szCs w:val="24"/>
        </w:rPr>
        <w:t>DUTB</w:t>
      </w:r>
      <w:r w:rsidRPr="00E611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27AB">
        <w:rPr>
          <w:rFonts w:asciiTheme="minorHAnsi" w:hAnsiTheme="minorHAnsi" w:cstheme="minorHAnsi"/>
          <w:b/>
          <w:sz w:val="24"/>
          <w:szCs w:val="24"/>
        </w:rPr>
        <w:t xml:space="preserve">je </w:t>
      </w:r>
      <w:r w:rsidR="00851671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6627AB">
        <w:rPr>
          <w:rFonts w:asciiTheme="minorHAnsi" w:hAnsiTheme="minorHAnsi" w:cstheme="minorHAnsi"/>
          <w:b/>
          <w:sz w:val="24"/>
          <w:szCs w:val="24"/>
        </w:rPr>
        <w:t xml:space="preserve">letu </w:t>
      </w:r>
      <w:r w:rsidR="00851671">
        <w:rPr>
          <w:rFonts w:asciiTheme="minorHAnsi" w:hAnsiTheme="minorHAnsi" w:cstheme="minorHAnsi"/>
          <w:b/>
          <w:sz w:val="24"/>
          <w:szCs w:val="24"/>
        </w:rPr>
        <w:t xml:space="preserve">2019 </w:t>
      </w:r>
      <w:r w:rsidR="000C121E">
        <w:rPr>
          <w:rFonts w:asciiTheme="minorHAnsi" w:hAnsiTheme="minorHAnsi" w:cstheme="minorHAnsi"/>
          <w:b/>
          <w:sz w:val="24"/>
          <w:szCs w:val="24"/>
        </w:rPr>
        <w:t>poslov</w:t>
      </w:r>
      <w:r w:rsidR="00851671">
        <w:rPr>
          <w:rFonts w:asciiTheme="minorHAnsi" w:hAnsiTheme="minorHAnsi" w:cstheme="minorHAnsi"/>
          <w:b/>
          <w:sz w:val="24"/>
          <w:szCs w:val="24"/>
        </w:rPr>
        <w:t>ala</w:t>
      </w:r>
      <w:r w:rsidR="000C12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6113F">
        <w:rPr>
          <w:rFonts w:asciiTheme="minorHAnsi" w:hAnsiTheme="minorHAnsi" w:cstheme="minorHAnsi"/>
          <w:b/>
          <w:sz w:val="24"/>
          <w:szCs w:val="24"/>
        </w:rPr>
        <w:t xml:space="preserve">uspešno </w:t>
      </w:r>
      <w:r w:rsidR="00851671">
        <w:rPr>
          <w:rFonts w:asciiTheme="minorHAnsi" w:hAnsiTheme="minorHAnsi" w:cstheme="minorHAnsi"/>
          <w:b/>
          <w:sz w:val="24"/>
          <w:szCs w:val="24"/>
        </w:rPr>
        <w:t>in nad zastavljenimi cilji.</w:t>
      </w:r>
      <w:r w:rsidRPr="00E6113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B69A713" w14:textId="77777777" w:rsidR="00E6113F" w:rsidRPr="00E6113F" w:rsidRDefault="00E6113F" w:rsidP="00E6113F">
      <w:pPr>
        <w:pStyle w:val="CalSLO"/>
        <w:rPr>
          <w:rFonts w:cstheme="minorHAnsi"/>
        </w:rPr>
      </w:pPr>
    </w:p>
    <w:p w14:paraId="0F3B4817" w14:textId="3EF56D45" w:rsidR="00E6113F" w:rsidRPr="00E6113F" w:rsidRDefault="008632A2" w:rsidP="00E6113F">
      <w:pPr>
        <w:pStyle w:val="CalSLO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>Nerevidirani f</w:t>
      </w:r>
      <w:r w:rsidR="00E6113F" w:rsidRPr="00E6113F">
        <w:rPr>
          <w:rFonts w:cstheme="minorHAnsi"/>
          <w:b/>
          <w:color w:val="002060"/>
          <w:sz w:val="24"/>
          <w:szCs w:val="24"/>
        </w:rPr>
        <w:t>inančni rezultati 2019</w:t>
      </w:r>
    </w:p>
    <w:p w14:paraId="70495911" w14:textId="77777777" w:rsidR="00E6113F" w:rsidRPr="00E6113F" w:rsidRDefault="00E6113F" w:rsidP="002E6B9C">
      <w:pPr>
        <w:pStyle w:val="CalSLO"/>
        <w:spacing w:line="240" w:lineRule="auto"/>
        <w:rPr>
          <w:rFonts w:cstheme="minorHAnsi"/>
          <w:b/>
        </w:rPr>
      </w:pPr>
    </w:p>
    <w:p w14:paraId="7605F5B5" w14:textId="5DE4E9EF" w:rsidR="00E6113F" w:rsidRDefault="00BC7CA0" w:rsidP="002E6B9C">
      <w:pPr>
        <w:pStyle w:val="CalSLO"/>
        <w:spacing w:line="240" w:lineRule="auto"/>
        <w:rPr>
          <w:rFonts w:cstheme="minorHAnsi"/>
        </w:rPr>
      </w:pPr>
      <w:r w:rsidRPr="00BC7CA0">
        <w:rPr>
          <w:rFonts w:cstheme="minorHAnsi"/>
        </w:rPr>
        <w:t>V letu 2019 je</w:t>
      </w:r>
      <w:r w:rsidRPr="00BC7CA0">
        <w:rPr>
          <w:rFonts w:cstheme="minorHAnsi"/>
          <w:b/>
        </w:rPr>
        <w:t xml:space="preserve"> </w:t>
      </w:r>
      <w:r w:rsidR="005A2F50">
        <w:rPr>
          <w:rFonts w:cstheme="minorHAnsi"/>
          <w:b/>
        </w:rPr>
        <w:t>čisti izid poslovnega leta</w:t>
      </w:r>
      <w:r w:rsidRPr="00BC7CA0">
        <w:rPr>
          <w:rFonts w:cstheme="minorHAnsi"/>
          <w:b/>
        </w:rPr>
        <w:t xml:space="preserve"> </w:t>
      </w:r>
      <w:r w:rsidR="007876DE" w:rsidRPr="00CD40E8">
        <w:rPr>
          <w:rFonts w:cstheme="minorHAnsi"/>
        </w:rPr>
        <w:t>po preliminarnih nerevid</w:t>
      </w:r>
      <w:r w:rsidR="0036782D" w:rsidRPr="00CD40E8">
        <w:rPr>
          <w:rFonts w:cstheme="minorHAnsi"/>
        </w:rPr>
        <w:t>i</w:t>
      </w:r>
      <w:r w:rsidR="007876DE" w:rsidRPr="00CD40E8">
        <w:rPr>
          <w:rFonts w:cstheme="minorHAnsi"/>
        </w:rPr>
        <w:t xml:space="preserve">ranih izkazih </w:t>
      </w:r>
      <w:r w:rsidRPr="00CD40E8">
        <w:rPr>
          <w:rFonts w:cstheme="minorHAnsi"/>
        </w:rPr>
        <w:t>znašal</w:t>
      </w:r>
      <w:r w:rsidRPr="00BC7CA0">
        <w:rPr>
          <w:rFonts w:cstheme="minorHAnsi"/>
          <w:b/>
        </w:rPr>
        <w:t xml:space="preserve"> </w:t>
      </w:r>
      <w:r w:rsidR="00882727">
        <w:rPr>
          <w:rFonts w:cstheme="minorHAnsi"/>
          <w:b/>
        </w:rPr>
        <w:t>40,2</w:t>
      </w:r>
      <w:r w:rsidRPr="00BC7CA0">
        <w:rPr>
          <w:rFonts w:cstheme="minorHAnsi"/>
          <w:b/>
        </w:rPr>
        <w:t> milijona EUR.</w:t>
      </w:r>
      <w:r>
        <w:rPr>
          <w:rFonts w:cstheme="minorHAnsi"/>
        </w:rPr>
        <w:t xml:space="preserve"> </w:t>
      </w:r>
      <w:r w:rsidR="00E6113F" w:rsidRPr="007C00B8">
        <w:rPr>
          <w:rFonts w:cstheme="minorHAnsi"/>
          <w:b/>
        </w:rPr>
        <w:t>Lastniški kapital</w:t>
      </w:r>
      <w:r w:rsidR="00BE5FE5">
        <w:rPr>
          <w:rFonts w:cstheme="minorHAnsi"/>
          <w:b/>
        </w:rPr>
        <w:t xml:space="preserve"> DUTB, </w:t>
      </w:r>
      <w:r w:rsidR="00BE5FE5" w:rsidRPr="00BE5FE5">
        <w:rPr>
          <w:rFonts w:cstheme="minorHAnsi"/>
        </w:rPr>
        <w:t>njen 100 % lastnik je Republika Slovenija,</w:t>
      </w:r>
      <w:r w:rsidR="00E6113F" w:rsidRPr="007C00B8">
        <w:rPr>
          <w:rFonts w:cstheme="minorHAnsi"/>
          <w:b/>
        </w:rPr>
        <w:t xml:space="preserve"> </w:t>
      </w:r>
      <w:r w:rsidR="00E6113F" w:rsidRPr="00CD40E8">
        <w:rPr>
          <w:rFonts w:cstheme="minorHAnsi"/>
        </w:rPr>
        <w:t>se je</w:t>
      </w:r>
      <w:r w:rsidR="00E6113F" w:rsidRPr="007C00B8">
        <w:rPr>
          <w:rFonts w:cstheme="minorHAnsi"/>
          <w:b/>
        </w:rPr>
        <w:t xml:space="preserve"> povečal na 24</w:t>
      </w:r>
      <w:r w:rsidR="00882727">
        <w:rPr>
          <w:rFonts w:cstheme="minorHAnsi"/>
          <w:b/>
        </w:rPr>
        <w:t>2,1</w:t>
      </w:r>
      <w:r w:rsidR="00E6113F" w:rsidRPr="007C00B8">
        <w:rPr>
          <w:rFonts w:cstheme="minorHAnsi"/>
          <w:b/>
        </w:rPr>
        <w:t> milijona EUR</w:t>
      </w:r>
      <w:r w:rsidR="00E6113F" w:rsidRPr="00E6113F">
        <w:rPr>
          <w:rFonts w:cstheme="minorHAnsi"/>
        </w:rPr>
        <w:t xml:space="preserve">, kar predstavlja </w:t>
      </w:r>
      <w:r w:rsidR="00E6113F" w:rsidRPr="00E6113F">
        <w:rPr>
          <w:rFonts w:cstheme="minorHAnsi"/>
          <w:b/>
        </w:rPr>
        <w:t>27,</w:t>
      </w:r>
      <w:r w:rsidR="005A2F50">
        <w:rPr>
          <w:rFonts w:cstheme="minorHAnsi"/>
          <w:b/>
        </w:rPr>
        <w:t>5</w:t>
      </w:r>
      <w:r w:rsidR="00E6113F" w:rsidRPr="00E6113F">
        <w:rPr>
          <w:rFonts w:cstheme="minorHAnsi"/>
          <w:b/>
        </w:rPr>
        <w:t xml:space="preserve">-odstotni povprečni letni donos </w:t>
      </w:r>
      <w:r w:rsidR="00E6113F" w:rsidRPr="00CD40E8">
        <w:rPr>
          <w:rFonts w:cstheme="minorHAnsi"/>
        </w:rPr>
        <w:t>na vloženi kapital</w:t>
      </w:r>
      <w:r w:rsidR="00E6113F" w:rsidRPr="00E6113F">
        <w:rPr>
          <w:rFonts w:cstheme="minorHAnsi"/>
        </w:rPr>
        <w:t xml:space="preserve"> s popravki (tj. upoštevaje vračila kapitala lastniku) oziroma EROE, katerega ciljna vrednost v Smernicah za delovanje DUTB</w:t>
      </w:r>
      <w:r w:rsidR="00E6113F" w:rsidRPr="00E6113F">
        <w:rPr>
          <w:rStyle w:val="FootnoteReference"/>
          <w:rFonts w:asciiTheme="minorHAnsi" w:hAnsiTheme="minorHAnsi" w:cstheme="minorHAnsi"/>
        </w:rPr>
        <w:footnoteReference w:id="1"/>
      </w:r>
      <w:r w:rsidR="00E6113F" w:rsidRPr="00E6113F">
        <w:rPr>
          <w:rFonts w:cstheme="minorHAnsi"/>
        </w:rPr>
        <w:t xml:space="preserve"> znaša 8 %.</w:t>
      </w:r>
    </w:p>
    <w:p w14:paraId="3449154D" w14:textId="4A3B0A10" w:rsidR="009F37F1" w:rsidRDefault="009F37F1" w:rsidP="002E6B9C">
      <w:pPr>
        <w:pStyle w:val="CalSLO"/>
        <w:spacing w:line="240" w:lineRule="auto"/>
        <w:rPr>
          <w:rFonts w:cstheme="minorHAnsi"/>
        </w:rPr>
      </w:pPr>
    </w:p>
    <w:p w14:paraId="55FDD67C" w14:textId="198DBDC1" w:rsidR="00882727" w:rsidRDefault="00882727" w:rsidP="002E6B9C">
      <w:pPr>
        <w:pStyle w:val="CalSLO"/>
        <w:spacing w:line="240" w:lineRule="auto"/>
        <w:rPr>
          <w:rFonts w:cstheme="minorHAnsi"/>
        </w:rPr>
      </w:pPr>
      <w:r w:rsidRPr="00882727">
        <w:rPr>
          <w:noProof/>
          <w:lang w:eastAsia="sl-SI"/>
        </w:rPr>
        <w:drawing>
          <wp:inline distT="0" distB="0" distL="0" distR="0" wp14:anchorId="49F9D137" wp14:editId="39CDD218">
            <wp:extent cx="5039995" cy="22313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23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AF68" w14:textId="4EEFB471" w:rsidR="00940E7D" w:rsidRPr="0052407E" w:rsidRDefault="00FE687A" w:rsidP="00433401">
      <w:pPr>
        <w:pStyle w:val="CalSLO"/>
        <w:spacing w:line="240" w:lineRule="auto"/>
        <w:rPr>
          <w:rFonts w:cstheme="minorHAnsi"/>
          <w:i/>
        </w:rPr>
      </w:pPr>
      <w:r w:rsidRPr="0052407E">
        <w:rPr>
          <w:rFonts w:cstheme="minorHAnsi"/>
          <w:i/>
        </w:rPr>
        <w:t>Shema 1: Vrednost lastniškega kapitala DUTB po letih (2013-2019)</w:t>
      </w:r>
    </w:p>
    <w:p w14:paraId="4218244A" w14:textId="77777777" w:rsidR="00FE687A" w:rsidRDefault="00FE687A" w:rsidP="00433401">
      <w:pPr>
        <w:pStyle w:val="CalSLO"/>
        <w:spacing w:line="240" w:lineRule="auto"/>
        <w:rPr>
          <w:rFonts w:cstheme="minorHAnsi"/>
        </w:rPr>
      </w:pPr>
    </w:p>
    <w:p w14:paraId="50A893AA" w14:textId="6B574B90" w:rsidR="000C121E" w:rsidRDefault="00E6113F" w:rsidP="00433401">
      <w:pPr>
        <w:pStyle w:val="CalSLO"/>
        <w:spacing w:line="240" w:lineRule="auto"/>
        <w:rPr>
          <w:rFonts w:cstheme="minorHAnsi"/>
        </w:rPr>
      </w:pPr>
      <w:r w:rsidRPr="00E6113F">
        <w:rPr>
          <w:rFonts w:cstheme="minorHAnsi"/>
        </w:rPr>
        <w:t xml:space="preserve">Leta 2019 je DUTB ustvarila </w:t>
      </w:r>
      <w:r w:rsidRPr="00E6113F">
        <w:rPr>
          <w:rFonts w:cstheme="minorHAnsi"/>
          <w:b/>
        </w:rPr>
        <w:t>220,</w:t>
      </w:r>
      <w:r w:rsidR="009E2868">
        <w:rPr>
          <w:rFonts w:cstheme="minorHAnsi"/>
          <w:b/>
        </w:rPr>
        <w:t>8</w:t>
      </w:r>
      <w:r w:rsidRPr="00E6113F">
        <w:rPr>
          <w:rFonts w:cstheme="minorHAnsi"/>
          <w:b/>
        </w:rPr>
        <w:t xml:space="preserve"> milijona EUR prilivov </w:t>
      </w:r>
      <w:r w:rsidRPr="00393BD3">
        <w:rPr>
          <w:rFonts w:cstheme="minorHAnsi"/>
          <w:b/>
        </w:rPr>
        <w:t>iz upravljanja premoženja</w:t>
      </w:r>
      <w:r w:rsidRPr="00E6113F">
        <w:rPr>
          <w:rFonts w:cstheme="minorHAnsi"/>
        </w:rPr>
        <w:t xml:space="preserve">, kar predstavlja 10,7 % kumulativne prenosne vrednosti sredstev in je, </w:t>
      </w:r>
      <w:r w:rsidR="000C121E">
        <w:rPr>
          <w:rFonts w:cstheme="minorHAnsi"/>
        </w:rPr>
        <w:t>navkljub</w:t>
      </w:r>
      <w:r w:rsidR="000C121E" w:rsidRPr="00E6113F">
        <w:rPr>
          <w:rFonts w:cstheme="minorHAnsi"/>
        </w:rPr>
        <w:t xml:space="preserve"> </w:t>
      </w:r>
      <w:r w:rsidRPr="00E6113F">
        <w:rPr>
          <w:rFonts w:cstheme="minorHAnsi"/>
        </w:rPr>
        <w:t>vedno manjšemu in zahtevnejšemu portfelju, nad 10-odstotno</w:t>
      </w:r>
      <w:r w:rsidR="00FE687A">
        <w:rPr>
          <w:rFonts w:cstheme="minorHAnsi"/>
        </w:rPr>
        <w:t xml:space="preserve"> letno</w:t>
      </w:r>
      <w:r w:rsidRPr="00E6113F">
        <w:rPr>
          <w:rFonts w:cstheme="minorHAnsi"/>
        </w:rPr>
        <w:t xml:space="preserve"> zahtevo, ki jo postavljajo Smernice in ZUKSB. </w:t>
      </w:r>
    </w:p>
    <w:p w14:paraId="0E1862E8" w14:textId="0CB3AA11" w:rsidR="00E6113F" w:rsidRPr="00267428" w:rsidRDefault="00E6113F" w:rsidP="00433401">
      <w:pPr>
        <w:pStyle w:val="CalSLO"/>
        <w:spacing w:line="240" w:lineRule="auto"/>
        <w:rPr>
          <w:rFonts w:cstheme="minorHAnsi"/>
        </w:rPr>
      </w:pPr>
      <w:r w:rsidRPr="00267428">
        <w:rPr>
          <w:rFonts w:cstheme="minorHAnsi"/>
        </w:rPr>
        <w:lastRenderedPageBreak/>
        <w:t xml:space="preserve">Od ustanovitve do konca leta 2019 je DUTB </w:t>
      </w:r>
      <w:r w:rsidR="00FE687A">
        <w:rPr>
          <w:rFonts w:cstheme="minorHAnsi"/>
        </w:rPr>
        <w:t xml:space="preserve">skupno </w:t>
      </w:r>
      <w:r w:rsidRPr="00267428">
        <w:rPr>
          <w:rFonts w:cstheme="minorHAnsi"/>
        </w:rPr>
        <w:t>ustvarila že 1.743,3 milijona EUR prilivov</w:t>
      </w:r>
      <w:r w:rsidR="006627AB" w:rsidRPr="00267428">
        <w:rPr>
          <w:rFonts w:cstheme="minorHAnsi"/>
        </w:rPr>
        <w:t xml:space="preserve"> iz upravljanja premoženja</w:t>
      </w:r>
      <w:r w:rsidRPr="00267428">
        <w:rPr>
          <w:rFonts w:cstheme="minorHAnsi"/>
        </w:rPr>
        <w:t>.</w:t>
      </w:r>
    </w:p>
    <w:p w14:paraId="3A50F0D2" w14:textId="4E338606" w:rsidR="00882727" w:rsidRDefault="00882727" w:rsidP="00433401">
      <w:pPr>
        <w:pStyle w:val="CalSLO"/>
        <w:spacing w:line="240" w:lineRule="auto"/>
        <w:rPr>
          <w:rFonts w:cstheme="minorHAnsi"/>
          <w:b/>
        </w:rPr>
      </w:pPr>
    </w:p>
    <w:p w14:paraId="29A976F0" w14:textId="2657DFF1" w:rsidR="00882727" w:rsidRDefault="00882727" w:rsidP="00433401">
      <w:pPr>
        <w:pStyle w:val="CalSLO"/>
        <w:spacing w:line="240" w:lineRule="auto"/>
        <w:rPr>
          <w:rFonts w:cstheme="minorHAnsi"/>
          <w:b/>
        </w:rPr>
      </w:pPr>
      <w:r w:rsidRPr="00882727">
        <w:rPr>
          <w:noProof/>
          <w:lang w:eastAsia="sl-SI"/>
        </w:rPr>
        <w:drawing>
          <wp:inline distT="0" distB="0" distL="0" distR="0" wp14:anchorId="3290C06E" wp14:editId="24D22235">
            <wp:extent cx="5039995" cy="1929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9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82EA" w14:textId="25A45B81" w:rsidR="00FE687A" w:rsidRPr="0052407E" w:rsidRDefault="00FE687A" w:rsidP="002E6B9C">
      <w:pPr>
        <w:pStyle w:val="CalSLO"/>
        <w:spacing w:line="240" w:lineRule="auto"/>
        <w:rPr>
          <w:rFonts w:cstheme="minorHAnsi"/>
          <w:i/>
        </w:rPr>
      </w:pPr>
      <w:r w:rsidRPr="0052407E">
        <w:rPr>
          <w:rFonts w:cstheme="minorHAnsi"/>
          <w:i/>
        </w:rPr>
        <w:t>Shema 2: Struk</w:t>
      </w:r>
      <w:bookmarkStart w:id="0" w:name="_GoBack"/>
      <w:bookmarkEnd w:id="0"/>
      <w:r w:rsidRPr="0052407E">
        <w:rPr>
          <w:rFonts w:cstheme="minorHAnsi"/>
          <w:i/>
        </w:rPr>
        <w:t>tura ustvarjenih prilivov iz upravljanja premoženja v 2019 glede na tip naložb in ustvarjeni prilivi iz upravljanja premoženja po letih (2013-2019)</w:t>
      </w:r>
    </w:p>
    <w:p w14:paraId="21191DDC" w14:textId="77777777" w:rsidR="00FE687A" w:rsidRPr="0052407E" w:rsidRDefault="00FE687A" w:rsidP="002E6B9C">
      <w:pPr>
        <w:pStyle w:val="CalSLO"/>
        <w:spacing w:line="240" w:lineRule="auto"/>
        <w:rPr>
          <w:rFonts w:cstheme="minorHAnsi"/>
          <w:i/>
        </w:rPr>
      </w:pPr>
    </w:p>
    <w:p w14:paraId="409D22CE" w14:textId="0E26C0BE" w:rsidR="00E6113F" w:rsidRPr="00E6113F" w:rsidRDefault="0083016C" w:rsidP="002E6B9C">
      <w:pPr>
        <w:pStyle w:val="CalSLO"/>
        <w:spacing w:line="240" w:lineRule="auto"/>
        <w:rPr>
          <w:rFonts w:cstheme="minorHAnsi"/>
        </w:rPr>
      </w:pPr>
      <w:r>
        <w:rPr>
          <w:rFonts w:cstheme="minorHAnsi"/>
        </w:rPr>
        <w:t xml:space="preserve">DUTB je v letu 2019 </w:t>
      </w:r>
      <w:r w:rsidR="00E6113F" w:rsidRPr="00E6113F">
        <w:rPr>
          <w:rFonts w:cstheme="minorHAnsi"/>
        </w:rPr>
        <w:t xml:space="preserve">poslovala </w:t>
      </w:r>
      <w:r w:rsidR="007876DE" w:rsidRPr="00267428">
        <w:rPr>
          <w:rFonts w:cstheme="minorHAnsi"/>
          <w:b/>
        </w:rPr>
        <w:t>stroškovno učinkovito</w:t>
      </w:r>
      <w:r w:rsidR="00263166">
        <w:rPr>
          <w:rFonts w:cstheme="minorHAnsi"/>
        </w:rPr>
        <w:t>.</w:t>
      </w:r>
      <w:r w:rsidR="002C668C">
        <w:rPr>
          <w:rFonts w:cstheme="minorHAnsi"/>
        </w:rPr>
        <w:t xml:space="preserve"> Redni stroški poslovanja (tj. stroški poslovanja brez </w:t>
      </w:r>
      <w:r w:rsidR="00087829">
        <w:rPr>
          <w:rFonts w:cstheme="minorHAnsi"/>
        </w:rPr>
        <w:t xml:space="preserve">stroškov </w:t>
      </w:r>
      <w:r w:rsidR="00AF57C3">
        <w:rPr>
          <w:rFonts w:cstheme="minorHAnsi"/>
        </w:rPr>
        <w:t xml:space="preserve">tožb in </w:t>
      </w:r>
      <w:r w:rsidR="002C668C">
        <w:rPr>
          <w:rFonts w:cstheme="minorHAnsi"/>
        </w:rPr>
        <w:t>oblikovanih rezervacij) so bili leta 2019 za skoraj 3 milijone EUR (15 %) nižji od stroškov v predhodnem letu.</w:t>
      </w:r>
      <w:r w:rsidR="00263166">
        <w:rPr>
          <w:rFonts w:cstheme="minorHAnsi"/>
        </w:rPr>
        <w:t xml:space="preserve"> Kazalnik</w:t>
      </w:r>
      <w:r w:rsidR="006627AB">
        <w:rPr>
          <w:rFonts w:cstheme="minorHAnsi"/>
        </w:rPr>
        <w:t xml:space="preserve"> stroškovne učinkovitosti za leto 2019 znaša</w:t>
      </w:r>
      <w:r w:rsidR="00E6113F" w:rsidRPr="00E6113F">
        <w:rPr>
          <w:rFonts w:cstheme="minorHAnsi"/>
        </w:rPr>
        <w:t xml:space="preserve"> 1,</w:t>
      </w:r>
      <w:r w:rsidR="002C668C">
        <w:rPr>
          <w:rFonts w:cstheme="minorHAnsi"/>
        </w:rPr>
        <w:t>71</w:t>
      </w:r>
      <w:r w:rsidR="00E6113F" w:rsidRPr="00E6113F">
        <w:rPr>
          <w:rFonts w:cstheme="minorHAnsi"/>
        </w:rPr>
        <w:t xml:space="preserve"> % </w:t>
      </w:r>
      <w:r w:rsidR="006627AB">
        <w:rPr>
          <w:rFonts w:cstheme="minorHAnsi"/>
        </w:rPr>
        <w:t>in je pomembno nižji od ciljne vrednosti</w:t>
      </w:r>
      <w:r w:rsidR="00E6113F" w:rsidRPr="00E6113F">
        <w:rPr>
          <w:rFonts w:cstheme="minorHAnsi"/>
        </w:rPr>
        <w:t xml:space="preserve">, ki </w:t>
      </w:r>
      <w:r w:rsidR="004E772B">
        <w:rPr>
          <w:rFonts w:cstheme="minorHAnsi"/>
        </w:rPr>
        <w:t>jo</w:t>
      </w:r>
      <w:r w:rsidR="00E6113F" w:rsidRPr="00E6113F">
        <w:rPr>
          <w:rFonts w:cstheme="minorHAnsi"/>
        </w:rPr>
        <w:t xml:space="preserve"> Smernice določa</w:t>
      </w:r>
      <w:r w:rsidR="00FE687A">
        <w:rPr>
          <w:rFonts w:cstheme="minorHAnsi"/>
        </w:rPr>
        <w:t>jo</w:t>
      </w:r>
      <w:r w:rsidR="00E6113F" w:rsidRPr="00E6113F">
        <w:rPr>
          <w:rFonts w:cstheme="minorHAnsi"/>
        </w:rPr>
        <w:t xml:space="preserve"> pri 2,06 %. </w:t>
      </w:r>
      <w:r w:rsidR="00267428">
        <w:rPr>
          <w:rFonts w:cstheme="minorHAnsi"/>
        </w:rPr>
        <w:t>Manjše od načrtovanega</w:t>
      </w:r>
      <w:r w:rsidR="00E6113F" w:rsidRPr="00E6113F">
        <w:rPr>
          <w:rFonts w:cstheme="minorHAnsi"/>
        </w:rPr>
        <w:t xml:space="preserve"> je bilo tudi število zaposlenih iz opravljenih ur, ki je konec leta 2019 znašalo 127.</w:t>
      </w:r>
    </w:p>
    <w:p w14:paraId="6C0D0B37" w14:textId="77777777" w:rsidR="00E6113F" w:rsidRPr="00E6113F" w:rsidRDefault="00E6113F" w:rsidP="00E6113F">
      <w:pPr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4B741C7A" w14:textId="145A1ABB" w:rsidR="00E6113F" w:rsidRDefault="00E6113F" w:rsidP="00E6113F">
      <w:pPr>
        <w:jc w:val="both"/>
        <w:rPr>
          <w:rFonts w:asciiTheme="minorHAnsi" w:hAnsiTheme="minorHAnsi" w:cstheme="minorHAnsi"/>
          <w:b/>
          <w:color w:val="002060"/>
        </w:rPr>
      </w:pPr>
      <w:r w:rsidRPr="00E6113F">
        <w:rPr>
          <w:rFonts w:asciiTheme="minorHAnsi" w:hAnsiTheme="minorHAnsi" w:cstheme="minorHAnsi"/>
          <w:b/>
          <w:color w:val="002060"/>
        </w:rPr>
        <w:t>Po</w:t>
      </w:r>
      <w:r w:rsidR="008632A2">
        <w:rPr>
          <w:rFonts w:asciiTheme="minorHAnsi" w:hAnsiTheme="minorHAnsi" w:cstheme="minorHAnsi"/>
          <w:b/>
          <w:color w:val="002060"/>
        </w:rPr>
        <w:t xml:space="preserve">membnejši posli </w:t>
      </w:r>
      <w:r w:rsidRPr="00E6113F">
        <w:rPr>
          <w:rFonts w:asciiTheme="minorHAnsi" w:hAnsiTheme="minorHAnsi" w:cstheme="minorHAnsi"/>
          <w:b/>
          <w:color w:val="002060"/>
        </w:rPr>
        <w:t>v letu 2019</w:t>
      </w:r>
    </w:p>
    <w:p w14:paraId="5B086BED" w14:textId="77777777" w:rsidR="00E6113F" w:rsidRPr="00E6113F" w:rsidRDefault="00E6113F" w:rsidP="00E6113F">
      <w:pPr>
        <w:jc w:val="both"/>
        <w:rPr>
          <w:rFonts w:asciiTheme="minorHAnsi" w:hAnsiTheme="minorHAnsi" w:cstheme="minorHAnsi"/>
          <w:b/>
          <w:color w:val="002060"/>
        </w:rPr>
      </w:pPr>
    </w:p>
    <w:p w14:paraId="6F4A0C4E" w14:textId="36DDF572" w:rsidR="00E6113F" w:rsidRDefault="00E6113F" w:rsidP="00E6113F">
      <w:pPr>
        <w:jc w:val="both"/>
        <w:rPr>
          <w:rFonts w:asciiTheme="minorHAnsi" w:hAnsiTheme="minorHAnsi" w:cstheme="minorHAnsi"/>
          <w:sz w:val="22"/>
          <w:szCs w:val="22"/>
        </w:rPr>
      </w:pPr>
      <w:r w:rsidRPr="00E6113F">
        <w:rPr>
          <w:rFonts w:asciiTheme="minorHAnsi" w:hAnsiTheme="minorHAnsi" w:cstheme="minorHAnsi"/>
          <w:sz w:val="22"/>
          <w:szCs w:val="22"/>
        </w:rPr>
        <w:t xml:space="preserve">DUTB </w:t>
      </w:r>
      <w:r w:rsidR="00BE5FE5">
        <w:rPr>
          <w:rFonts w:asciiTheme="minorHAnsi" w:hAnsiTheme="minorHAnsi" w:cstheme="minorHAnsi"/>
          <w:sz w:val="22"/>
          <w:szCs w:val="22"/>
        </w:rPr>
        <w:t xml:space="preserve">je v minulem letu </w:t>
      </w:r>
      <w:r w:rsidRPr="00E6113F">
        <w:rPr>
          <w:rFonts w:asciiTheme="minorHAnsi" w:hAnsiTheme="minorHAnsi" w:cstheme="minorHAnsi"/>
          <w:sz w:val="22"/>
          <w:szCs w:val="22"/>
        </w:rPr>
        <w:t xml:space="preserve">našla strateškega, finančno stabilnega in investicijsko sposobnega kupca za družbo </w:t>
      </w:r>
      <w:r w:rsidRPr="00E6113F">
        <w:rPr>
          <w:rFonts w:asciiTheme="minorHAnsi" w:hAnsiTheme="minorHAnsi" w:cstheme="minorHAnsi"/>
          <w:b/>
          <w:sz w:val="22"/>
          <w:szCs w:val="22"/>
        </w:rPr>
        <w:t>Tink</w:t>
      </w:r>
      <w:r w:rsidRPr="00E6113F">
        <w:rPr>
          <w:rFonts w:asciiTheme="minorHAnsi" w:hAnsiTheme="minorHAnsi" w:cstheme="minorHAnsi"/>
          <w:sz w:val="22"/>
          <w:szCs w:val="22"/>
        </w:rPr>
        <w:t>, proizvodno in trgovsko podjetje d.o.o.</w:t>
      </w:r>
      <w:r w:rsidR="00393BD3">
        <w:rPr>
          <w:rFonts w:asciiTheme="minorHAnsi" w:hAnsiTheme="minorHAnsi" w:cstheme="minorHAnsi"/>
          <w:sz w:val="22"/>
          <w:szCs w:val="22"/>
        </w:rPr>
        <w:t xml:space="preserve"> </w:t>
      </w:r>
      <w:r w:rsidRPr="00E6113F">
        <w:rPr>
          <w:rFonts w:asciiTheme="minorHAnsi" w:hAnsiTheme="minorHAnsi" w:cstheme="minorHAnsi"/>
          <w:sz w:val="22"/>
          <w:szCs w:val="22"/>
        </w:rPr>
        <w:t xml:space="preserve">Kupec iz dejavnosti </w:t>
      </w:r>
      <w:r w:rsidR="002F1514">
        <w:rPr>
          <w:rFonts w:asciiTheme="minorHAnsi" w:hAnsiTheme="minorHAnsi" w:cstheme="minorHAnsi"/>
          <w:sz w:val="22"/>
          <w:szCs w:val="22"/>
        </w:rPr>
        <w:t>družbe</w:t>
      </w:r>
      <w:r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="00603ABA">
        <w:rPr>
          <w:rFonts w:asciiTheme="minorHAnsi" w:hAnsiTheme="minorHAnsi" w:cstheme="minorHAnsi"/>
          <w:sz w:val="22"/>
          <w:szCs w:val="22"/>
        </w:rPr>
        <w:t xml:space="preserve">se </w:t>
      </w:r>
      <w:r w:rsidRPr="00E6113F">
        <w:rPr>
          <w:rFonts w:asciiTheme="minorHAnsi" w:hAnsiTheme="minorHAnsi" w:cstheme="minorHAnsi"/>
          <w:sz w:val="22"/>
          <w:szCs w:val="22"/>
        </w:rPr>
        <w:t xml:space="preserve">je že v prvem letu po prevzemu </w:t>
      </w:r>
      <w:r w:rsidR="00603ABA">
        <w:rPr>
          <w:rFonts w:asciiTheme="minorHAnsi" w:hAnsiTheme="minorHAnsi" w:cstheme="minorHAnsi"/>
          <w:sz w:val="22"/>
          <w:szCs w:val="22"/>
        </w:rPr>
        <w:t xml:space="preserve">lotil </w:t>
      </w:r>
      <w:r w:rsidRPr="00E6113F">
        <w:rPr>
          <w:rFonts w:asciiTheme="minorHAnsi" w:hAnsiTheme="minorHAnsi" w:cstheme="minorHAnsi"/>
          <w:sz w:val="22"/>
          <w:szCs w:val="22"/>
        </w:rPr>
        <w:t>širit</w:t>
      </w:r>
      <w:r w:rsidR="00603ABA">
        <w:rPr>
          <w:rFonts w:asciiTheme="minorHAnsi" w:hAnsiTheme="minorHAnsi" w:cstheme="minorHAnsi"/>
          <w:sz w:val="22"/>
          <w:szCs w:val="22"/>
        </w:rPr>
        <w:t>v</w:t>
      </w:r>
      <w:r w:rsidRPr="00E6113F">
        <w:rPr>
          <w:rFonts w:asciiTheme="minorHAnsi" w:hAnsiTheme="minorHAnsi" w:cstheme="minorHAnsi"/>
          <w:sz w:val="22"/>
          <w:szCs w:val="22"/>
        </w:rPr>
        <w:t xml:space="preserve">e </w:t>
      </w:r>
      <w:r w:rsidR="00BE5FE5">
        <w:rPr>
          <w:rFonts w:asciiTheme="minorHAnsi" w:hAnsiTheme="minorHAnsi" w:cstheme="minorHAnsi"/>
          <w:sz w:val="22"/>
          <w:szCs w:val="22"/>
        </w:rPr>
        <w:t xml:space="preserve">in </w:t>
      </w:r>
      <w:r w:rsidR="00433401">
        <w:rPr>
          <w:rFonts w:asciiTheme="minorHAnsi" w:hAnsiTheme="minorHAnsi" w:cstheme="minorHAnsi"/>
          <w:sz w:val="22"/>
          <w:szCs w:val="22"/>
        </w:rPr>
        <w:t>selitve</w:t>
      </w:r>
      <w:r w:rsidRPr="00E6113F">
        <w:rPr>
          <w:rFonts w:asciiTheme="minorHAnsi" w:hAnsiTheme="minorHAnsi" w:cstheme="minorHAnsi"/>
          <w:sz w:val="22"/>
          <w:szCs w:val="22"/>
        </w:rPr>
        <w:t xml:space="preserve"> del</w:t>
      </w:r>
      <w:r w:rsidR="00433401">
        <w:rPr>
          <w:rFonts w:asciiTheme="minorHAnsi" w:hAnsiTheme="minorHAnsi" w:cstheme="minorHAnsi"/>
          <w:sz w:val="22"/>
          <w:szCs w:val="22"/>
        </w:rPr>
        <w:t>a</w:t>
      </w:r>
      <w:r w:rsidRPr="00E6113F">
        <w:rPr>
          <w:rFonts w:asciiTheme="minorHAnsi" w:hAnsiTheme="minorHAnsi" w:cstheme="minorHAnsi"/>
          <w:sz w:val="22"/>
          <w:szCs w:val="22"/>
        </w:rPr>
        <w:t xml:space="preserve"> svojih skladišč</w:t>
      </w:r>
      <w:r w:rsidR="00433401">
        <w:rPr>
          <w:rFonts w:asciiTheme="minorHAnsi" w:hAnsiTheme="minorHAnsi" w:cstheme="minorHAnsi"/>
          <w:sz w:val="22"/>
          <w:szCs w:val="22"/>
        </w:rPr>
        <w:t xml:space="preserve"> na novo lokacijo</w:t>
      </w:r>
      <w:r w:rsidRPr="00E6113F">
        <w:rPr>
          <w:rFonts w:asciiTheme="minorHAnsi" w:hAnsiTheme="minorHAnsi" w:cstheme="minorHAnsi"/>
          <w:sz w:val="22"/>
          <w:szCs w:val="22"/>
        </w:rPr>
        <w:t xml:space="preserve">. </w:t>
      </w:r>
      <w:r w:rsidR="008632A2">
        <w:rPr>
          <w:rFonts w:asciiTheme="minorHAnsi" w:hAnsiTheme="minorHAnsi" w:cstheme="minorHAnsi"/>
          <w:sz w:val="22"/>
          <w:szCs w:val="22"/>
        </w:rPr>
        <w:t>Z</w:t>
      </w:r>
      <w:r w:rsidRPr="00E6113F">
        <w:rPr>
          <w:rFonts w:asciiTheme="minorHAnsi" w:hAnsiTheme="minorHAnsi" w:cstheme="minorHAnsi"/>
          <w:sz w:val="22"/>
          <w:szCs w:val="22"/>
        </w:rPr>
        <w:t xml:space="preserve"> uspešnim finančnim prestrukturiranjem družb</w:t>
      </w:r>
      <w:r w:rsidR="00BE5FE5">
        <w:rPr>
          <w:rFonts w:asciiTheme="minorHAnsi" w:hAnsiTheme="minorHAnsi" w:cstheme="minorHAnsi"/>
          <w:sz w:val="22"/>
          <w:szCs w:val="22"/>
        </w:rPr>
        <w:t>e</w:t>
      </w:r>
      <w:r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="00BE5FE5" w:rsidRPr="006E2269">
        <w:rPr>
          <w:rFonts w:asciiTheme="minorHAnsi" w:hAnsiTheme="minorHAnsi" w:cstheme="minorHAnsi"/>
          <w:b/>
          <w:sz w:val="22"/>
          <w:szCs w:val="22"/>
        </w:rPr>
        <w:t>Hoteli Bernardin</w:t>
      </w:r>
      <w:r w:rsidR="00BE5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5FE5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BE5FE5">
        <w:rPr>
          <w:rFonts w:asciiTheme="minorHAnsi" w:hAnsiTheme="minorHAnsi" w:cstheme="minorHAnsi"/>
          <w:sz w:val="22"/>
          <w:szCs w:val="22"/>
        </w:rPr>
        <w:t xml:space="preserve">. </w:t>
      </w:r>
      <w:r w:rsidR="008632A2">
        <w:rPr>
          <w:rFonts w:asciiTheme="minorHAnsi" w:hAnsiTheme="minorHAnsi" w:cstheme="minorHAnsi"/>
          <w:sz w:val="22"/>
          <w:szCs w:val="22"/>
        </w:rPr>
        <w:t xml:space="preserve">je DUTB </w:t>
      </w:r>
      <w:r w:rsidR="00433401">
        <w:rPr>
          <w:rFonts w:asciiTheme="minorHAnsi" w:hAnsiTheme="minorHAnsi" w:cstheme="minorHAnsi"/>
          <w:sz w:val="22"/>
          <w:szCs w:val="22"/>
        </w:rPr>
        <w:t xml:space="preserve">družbi </w:t>
      </w:r>
      <w:r w:rsidRPr="00E6113F">
        <w:rPr>
          <w:rFonts w:asciiTheme="minorHAnsi" w:hAnsiTheme="minorHAnsi" w:cstheme="minorHAnsi"/>
          <w:sz w:val="22"/>
          <w:szCs w:val="22"/>
        </w:rPr>
        <w:t xml:space="preserve">omogočila, da je postala ponovno zanimiva za poslovne banke, ki so refinancirale </w:t>
      </w:r>
      <w:r w:rsidR="008632A2">
        <w:rPr>
          <w:rFonts w:asciiTheme="minorHAnsi" w:hAnsiTheme="minorHAnsi" w:cstheme="minorHAnsi"/>
          <w:sz w:val="22"/>
          <w:szCs w:val="22"/>
        </w:rPr>
        <w:t xml:space="preserve">vse </w:t>
      </w:r>
      <w:r w:rsidR="00BE5FE5">
        <w:rPr>
          <w:rFonts w:asciiTheme="minorHAnsi" w:hAnsiTheme="minorHAnsi" w:cstheme="minorHAnsi"/>
          <w:sz w:val="22"/>
          <w:szCs w:val="22"/>
        </w:rPr>
        <w:t>njene</w:t>
      </w:r>
      <w:r w:rsidR="00D6421A">
        <w:rPr>
          <w:rFonts w:asciiTheme="minorHAnsi" w:hAnsiTheme="minorHAnsi" w:cstheme="minorHAnsi"/>
          <w:sz w:val="22"/>
          <w:szCs w:val="22"/>
        </w:rPr>
        <w:t xml:space="preserve"> obveznosti</w:t>
      </w:r>
      <w:r w:rsidRPr="00E6113F">
        <w:rPr>
          <w:rFonts w:asciiTheme="minorHAnsi" w:hAnsiTheme="minorHAnsi" w:cstheme="minorHAnsi"/>
          <w:sz w:val="22"/>
          <w:szCs w:val="22"/>
        </w:rPr>
        <w:t xml:space="preserve"> do DUTB</w:t>
      </w:r>
      <w:r w:rsidR="00BE5FE5">
        <w:rPr>
          <w:rFonts w:asciiTheme="minorHAnsi" w:hAnsiTheme="minorHAnsi" w:cstheme="minorHAnsi"/>
          <w:sz w:val="22"/>
          <w:szCs w:val="22"/>
        </w:rPr>
        <w:t>-ja</w:t>
      </w:r>
      <w:r w:rsidRPr="00E6113F">
        <w:rPr>
          <w:rFonts w:asciiTheme="minorHAnsi" w:hAnsiTheme="minorHAnsi" w:cstheme="minorHAnsi"/>
          <w:sz w:val="22"/>
          <w:szCs w:val="22"/>
        </w:rPr>
        <w:t xml:space="preserve">. </w:t>
      </w:r>
      <w:r w:rsidR="00433401">
        <w:rPr>
          <w:rFonts w:asciiTheme="minorHAnsi" w:hAnsiTheme="minorHAnsi" w:cstheme="minorHAnsi"/>
          <w:sz w:val="22"/>
          <w:szCs w:val="22"/>
        </w:rPr>
        <w:t>S</w:t>
      </w:r>
      <w:r w:rsidR="00603ABA">
        <w:rPr>
          <w:rFonts w:asciiTheme="minorHAnsi" w:hAnsiTheme="minorHAnsi" w:cstheme="minorHAnsi"/>
          <w:sz w:val="22"/>
          <w:szCs w:val="22"/>
        </w:rPr>
        <w:t xml:space="preserve"> </w:t>
      </w:r>
      <w:r w:rsidRPr="00E6113F">
        <w:rPr>
          <w:rFonts w:asciiTheme="minorHAnsi" w:hAnsiTheme="minorHAnsi" w:cstheme="minorHAnsi"/>
          <w:sz w:val="22"/>
          <w:szCs w:val="22"/>
        </w:rPr>
        <w:t>proda</w:t>
      </w:r>
      <w:r w:rsidR="00603ABA">
        <w:rPr>
          <w:rFonts w:asciiTheme="minorHAnsi" w:hAnsiTheme="minorHAnsi" w:cstheme="minorHAnsi"/>
          <w:sz w:val="22"/>
          <w:szCs w:val="22"/>
        </w:rPr>
        <w:t>jo</w:t>
      </w:r>
      <w:r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="00433401">
        <w:rPr>
          <w:rFonts w:asciiTheme="minorHAnsi" w:hAnsiTheme="minorHAnsi" w:cstheme="minorHAnsi"/>
          <w:sz w:val="22"/>
          <w:szCs w:val="22"/>
        </w:rPr>
        <w:t xml:space="preserve">svojega </w:t>
      </w:r>
      <w:r w:rsidRPr="00E6113F">
        <w:rPr>
          <w:rFonts w:asciiTheme="minorHAnsi" w:hAnsiTheme="minorHAnsi" w:cstheme="minorHAnsi"/>
          <w:sz w:val="22"/>
          <w:szCs w:val="22"/>
        </w:rPr>
        <w:t>lastnišk</w:t>
      </w:r>
      <w:r w:rsidR="00603ABA">
        <w:rPr>
          <w:rFonts w:asciiTheme="minorHAnsi" w:hAnsiTheme="minorHAnsi" w:cstheme="minorHAnsi"/>
          <w:sz w:val="22"/>
          <w:szCs w:val="22"/>
        </w:rPr>
        <w:t>ega</w:t>
      </w:r>
      <w:r w:rsidRPr="00E6113F">
        <w:rPr>
          <w:rFonts w:asciiTheme="minorHAnsi" w:hAnsiTheme="minorHAnsi" w:cstheme="minorHAnsi"/>
          <w:sz w:val="22"/>
          <w:szCs w:val="22"/>
        </w:rPr>
        <w:t xml:space="preserve"> delež</w:t>
      </w:r>
      <w:r w:rsidR="00603ABA">
        <w:rPr>
          <w:rFonts w:asciiTheme="minorHAnsi" w:hAnsiTheme="minorHAnsi" w:cstheme="minorHAnsi"/>
          <w:sz w:val="22"/>
          <w:szCs w:val="22"/>
        </w:rPr>
        <w:t>a</w:t>
      </w:r>
      <w:r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="00433401">
        <w:rPr>
          <w:rFonts w:asciiTheme="minorHAnsi" w:hAnsiTheme="minorHAnsi" w:cstheme="minorHAnsi"/>
          <w:sz w:val="22"/>
          <w:szCs w:val="22"/>
        </w:rPr>
        <w:t xml:space="preserve">je </w:t>
      </w:r>
      <w:r w:rsidR="008632A2">
        <w:rPr>
          <w:rFonts w:asciiTheme="minorHAnsi" w:hAnsiTheme="minorHAnsi" w:cstheme="minorHAnsi"/>
          <w:sz w:val="22"/>
          <w:szCs w:val="22"/>
        </w:rPr>
        <w:t xml:space="preserve">DUTB </w:t>
      </w:r>
      <w:r w:rsidRPr="00E6113F">
        <w:rPr>
          <w:rFonts w:asciiTheme="minorHAnsi" w:hAnsiTheme="minorHAnsi" w:cstheme="minorHAnsi"/>
          <w:sz w:val="22"/>
          <w:szCs w:val="22"/>
        </w:rPr>
        <w:t xml:space="preserve">primer uspešno zaključila </w:t>
      </w:r>
      <w:r w:rsidR="00BE5FE5">
        <w:rPr>
          <w:rFonts w:asciiTheme="minorHAnsi" w:hAnsiTheme="minorHAnsi" w:cstheme="minorHAnsi"/>
          <w:sz w:val="22"/>
          <w:szCs w:val="22"/>
        </w:rPr>
        <w:t xml:space="preserve">in </w:t>
      </w:r>
      <w:r w:rsidRPr="00E6113F">
        <w:rPr>
          <w:rFonts w:asciiTheme="minorHAnsi" w:hAnsiTheme="minorHAnsi" w:cstheme="minorHAnsi"/>
          <w:sz w:val="22"/>
          <w:szCs w:val="22"/>
        </w:rPr>
        <w:t xml:space="preserve">hkrati </w:t>
      </w:r>
      <w:r w:rsidR="008632A2">
        <w:rPr>
          <w:rFonts w:asciiTheme="minorHAnsi" w:hAnsiTheme="minorHAnsi" w:cstheme="minorHAnsi"/>
          <w:sz w:val="22"/>
          <w:szCs w:val="22"/>
        </w:rPr>
        <w:t xml:space="preserve">družbi </w:t>
      </w:r>
      <w:r w:rsidRPr="00E6113F">
        <w:rPr>
          <w:rFonts w:asciiTheme="minorHAnsi" w:hAnsiTheme="minorHAnsi" w:cstheme="minorHAnsi"/>
          <w:sz w:val="22"/>
          <w:szCs w:val="22"/>
        </w:rPr>
        <w:t xml:space="preserve">omogočila nadaljnji poslovni razvoj. DUTB </w:t>
      </w:r>
      <w:r w:rsidR="00603ABA">
        <w:rPr>
          <w:rFonts w:asciiTheme="minorHAnsi" w:hAnsiTheme="minorHAnsi" w:cstheme="minorHAnsi"/>
          <w:sz w:val="22"/>
          <w:szCs w:val="22"/>
        </w:rPr>
        <w:t xml:space="preserve">je bila </w:t>
      </w:r>
      <w:r w:rsidRPr="00E6113F">
        <w:rPr>
          <w:rFonts w:asciiTheme="minorHAnsi" w:hAnsiTheme="minorHAnsi" w:cstheme="minorHAnsi"/>
          <w:sz w:val="22"/>
          <w:szCs w:val="22"/>
        </w:rPr>
        <w:t xml:space="preserve">uspešna pri prevzemu zastavljenih delnic družbe </w:t>
      </w:r>
      <w:r w:rsidRPr="00E6113F">
        <w:rPr>
          <w:rFonts w:asciiTheme="minorHAnsi" w:hAnsiTheme="minorHAnsi" w:cstheme="minorHAnsi"/>
          <w:b/>
          <w:sz w:val="22"/>
          <w:szCs w:val="22"/>
        </w:rPr>
        <w:t>Istrabenz Turizem</w:t>
      </w:r>
      <w:r w:rsidRPr="00E6113F">
        <w:rPr>
          <w:rFonts w:asciiTheme="minorHAnsi" w:hAnsiTheme="minorHAnsi" w:cstheme="minorHAnsi"/>
          <w:sz w:val="22"/>
          <w:szCs w:val="22"/>
        </w:rPr>
        <w:t xml:space="preserve">, s čimer je zaščitila za državo strateško naložbo, konsolidirala je lastništvo države v </w:t>
      </w:r>
      <w:proofErr w:type="spellStart"/>
      <w:r w:rsidRPr="00E6113F">
        <w:rPr>
          <w:rFonts w:asciiTheme="minorHAnsi" w:hAnsiTheme="minorHAnsi" w:cstheme="minorHAnsi"/>
          <w:b/>
          <w:sz w:val="22"/>
          <w:szCs w:val="22"/>
        </w:rPr>
        <w:t>Thermani</w:t>
      </w:r>
      <w:proofErr w:type="spellEnd"/>
      <w:r w:rsidRPr="00E6113F">
        <w:rPr>
          <w:rFonts w:asciiTheme="minorHAnsi" w:hAnsiTheme="minorHAnsi" w:cstheme="minorHAnsi"/>
          <w:sz w:val="22"/>
          <w:szCs w:val="22"/>
        </w:rPr>
        <w:t xml:space="preserve">, v upravljanje prevzela </w:t>
      </w:r>
      <w:proofErr w:type="spellStart"/>
      <w:r w:rsidRPr="00E6113F">
        <w:rPr>
          <w:rFonts w:asciiTheme="minorHAnsi" w:hAnsiTheme="minorHAnsi" w:cstheme="minorHAnsi"/>
          <w:b/>
          <w:sz w:val="22"/>
          <w:szCs w:val="22"/>
        </w:rPr>
        <w:t>bio</w:t>
      </w:r>
      <w:proofErr w:type="spellEnd"/>
      <w:r w:rsidRPr="00E6113F">
        <w:rPr>
          <w:rFonts w:asciiTheme="minorHAnsi" w:hAnsiTheme="minorHAnsi" w:cstheme="minorHAnsi"/>
          <w:b/>
          <w:sz w:val="22"/>
          <w:szCs w:val="22"/>
        </w:rPr>
        <w:t xml:space="preserve"> elektrarno Gjerkeš</w:t>
      </w:r>
      <w:r w:rsidRPr="00E6113F">
        <w:rPr>
          <w:rFonts w:asciiTheme="minorHAnsi" w:hAnsiTheme="minorHAnsi" w:cstheme="minorHAnsi"/>
          <w:sz w:val="22"/>
          <w:szCs w:val="22"/>
        </w:rPr>
        <w:t xml:space="preserve"> in uredila dolžniško-upniška razmerja v Bolgariji. </w:t>
      </w:r>
    </w:p>
    <w:p w14:paraId="2BE5BDAD" w14:textId="77777777" w:rsidR="00E6113F" w:rsidRPr="00E6113F" w:rsidRDefault="00E6113F" w:rsidP="00E611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C703DA" w14:textId="7FBCFBEE" w:rsidR="00E6113F" w:rsidRPr="00E6113F" w:rsidRDefault="00433401" w:rsidP="00E611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E2269">
        <w:rPr>
          <w:rFonts w:asciiTheme="minorHAnsi" w:hAnsiTheme="minorHAnsi" w:cstheme="minorHAnsi"/>
          <w:sz w:val="22"/>
          <w:szCs w:val="22"/>
        </w:rPr>
        <w:t>o</w:t>
      </w:r>
      <w:r w:rsidR="006E2269" w:rsidRPr="00E6113F">
        <w:rPr>
          <w:rFonts w:asciiTheme="minorHAnsi" w:hAnsiTheme="minorHAnsi" w:cstheme="minorHAnsi"/>
          <w:sz w:val="22"/>
          <w:szCs w:val="22"/>
        </w:rPr>
        <w:t xml:space="preserve"> uspešno izvedenem finančnem in poslovnem prestrukturiranju</w:t>
      </w:r>
      <w:r w:rsidR="006E2269" w:rsidRPr="00E6113F" w:rsidDel="00BE5FE5">
        <w:rPr>
          <w:rFonts w:asciiTheme="minorHAnsi" w:hAnsiTheme="minorHAnsi" w:cstheme="minorHAnsi"/>
          <w:sz w:val="22"/>
          <w:szCs w:val="22"/>
        </w:rPr>
        <w:t xml:space="preserve"> </w:t>
      </w:r>
      <w:r w:rsidR="008632A2" w:rsidRPr="00E6113F">
        <w:rPr>
          <w:rFonts w:asciiTheme="minorHAnsi" w:hAnsiTheme="minorHAnsi" w:cstheme="minorHAnsi"/>
          <w:b/>
          <w:sz w:val="22"/>
          <w:szCs w:val="22"/>
        </w:rPr>
        <w:t>PPS Pekarne Ptuj</w:t>
      </w:r>
      <w:r w:rsidR="008632A2" w:rsidRPr="00E6113F">
        <w:rPr>
          <w:rFonts w:asciiTheme="minorHAnsi" w:hAnsiTheme="minorHAnsi" w:cstheme="minorHAnsi"/>
          <w:sz w:val="22"/>
          <w:szCs w:val="22"/>
        </w:rPr>
        <w:t xml:space="preserve"> d.o.o.</w:t>
      </w:r>
      <w:r w:rsidR="008632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DUTB </w:t>
      </w:r>
      <w:r w:rsidR="008632A2">
        <w:rPr>
          <w:rFonts w:asciiTheme="minorHAnsi" w:hAnsiTheme="minorHAnsi" w:cstheme="minorHAnsi"/>
          <w:sz w:val="22"/>
          <w:szCs w:val="22"/>
        </w:rPr>
        <w:t xml:space="preserve">družbo </w:t>
      </w:r>
      <w:r w:rsidR="00E6113F" w:rsidRPr="00E6113F">
        <w:rPr>
          <w:rFonts w:asciiTheme="minorHAnsi" w:hAnsiTheme="minorHAnsi" w:cstheme="minorHAnsi"/>
          <w:sz w:val="22"/>
          <w:szCs w:val="22"/>
        </w:rPr>
        <w:t>proda</w:t>
      </w:r>
      <w:r w:rsidR="00BE5FE5">
        <w:rPr>
          <w:rFonts w:asciiTheme="minorHAnsi" w:hAnsiTheme="minorHAnsi" w:cstheme="minorHAnsi"/>
          <w:sz w:val="22"/>
          <w:szCs w:val="22"/>
        </w:rPr>
        <w:t>la</w:t>
      </w:r>
      <w:r w:rsidR="006E2269">
        <w:rPr>
          <w:rFonts w:asciiTheme="minorHAnsi" w:hAnsiTheme="minorHAnsi" w:cstheme="minorHAnsi"/>
          <w:sz w:val="22"/>
          <w:szCs w:val="22"/>
        </w:rPr>
        <w:t xml:space="preserve"> strateškemu kupcu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, kar 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bo omogočilo nadaljnjo rast in razvoj. Med prodanimi manjšinskimi lastniškimi </w:t>
      </w:r>
      <w:r w:rsidR="00962330">
        <w:rPr>
          <w:rFonts w:asciiTheme="minorHAnsi" w:hAnsiTheme="minorHAnsi" w:cstheme="minorHAnsi"/>
          <w:sz w:val="22"/>
          <w:szCs w:val="22"/>
        </w:rPr>
        <w:t xml:space="preserve">naložbami </w:t>
      </w:r>
      <w:r w:rsidR="007C00B8">
        <w:rPr>
          <w:rFonts w:asciiTheme="minorHAnsi" w:hAnsiTheme="minorHAnsi" w:cstheme="minorHAnsi"/>
          <w:sz w:val="22"/>
          <w:szCs w:val="22"/>
        </w:rPr>
        <w:t xml:space="preserve">so </w:t>
      </w:r>
      <w:r w:rsidR="006E2269">
        <w:rPr>
          <w:rFonts w:asciiTheme="minorHAnsi" w:hAnsiTheme="minorHAnsi" w:cstheme="minorHAnsi"/>
          <w:sz w:val="22"/>
          <w:szCs w:val="22"/>
        </w:rPr>
        <w:t>bile še</w:t>
      </w:r>
      <w:r w:rsidR="008D7640">
        <w:rPr>
          <w:rFonts w:asciiTheme="minorHAnsi" w:hAnsiTheme="minorHAnsi" w:cstheme="minorHAnsi"/>
          <w:sz w:val="22"/>
          <w:szCs w:val="22"/>
        </w:rPr>
        <w:t>:</w:t>
      </w:r>
      <w:r w:rsidR="006E2269">
        <w:rPr>
          <w:rFonts w:asciiTheme="minorHAnsi" w:hAnsiTheme="minorHAnsi" w:cstheme="minorHAnsi"/>
          <w:sz w:val="22"/>
          <w:szCs w:val="22"/>
        </w:rPr>
        <w:t xml:space="preserve"> </w:t>
      </w:r>
      <w:r w:rsidR="00E6113F" w:rsidRPr="00E6113F">
        <w:rPr>
          <w:rFonts w:asciiTheme="minorHAnsi" w:hAnsiTheme="minorHAnsi" w:cstheme="minorHAnsi"/>
          <w:b/>
          <w:sz w:val="22"/>
          <w:szCs w:val="22"/>
        </w:rPr>
        <w:t>RTC Kranjska Gora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113F" w:rsidRPr="00E6113F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E6113F" w:rsidRPr="00E6113F">
        <w:rPr>
          <w:rFonts w:asciiTheme="minorHAnsi" w:hAnsiTheme="minorHAnsi" w:cstheme="minorHAnsi"/>
          <w:sz w:val="22"/>
          <w:szCs w:val="22"/>
        </w:rPr>
        <w:t xml:space="preserve">., </w:t>
      </w:r>
      <w:r w:rsidR="00E6113F" w:rsidRPr="00E6113F">
        <w:rPr>
          <w:rFonts w:asciiTheme="minorHAnsi" w:hAnsiTheme="minorHAnsi" w:cstheme="minorHAnsi"/>
          <w:b/>
          <w:sz w:val="22"/>
          <w:szCs w:val="22"/>
        </w:rPr>
        <w:t xml:space="preserve">P&amp;S </w:t>
      </w:r>
      <w:proofErr w:type="spellStart"/>
      <w:r w:rsidR="00E6113F" w:rsidRPr="00E6113F">
        <w:rPr>
          <w:rFonts w:asciiTheme="minorHAnsi" w:hAnsiTheme="minorHAnsi" w:cstheme="minorHAnsi"/>
          <w:b/>
          <w:sz w:val="22"/>
          <w:szCs w:val="22"/>
        </w:rPr>
        <w:t>Growth</w:t>
      </w:r>
      <w:proofErr w:type="spellEnd"/>
      <w:r w:rsidR="00E6113F" w:rsidRPr="00E6113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6113F" w:rsidRPr="00E6113F">
        <w:rPr>
          <w:rFonts w:asciiTheme="minorHAnsi" w:hAnsiTheme="minorHAnsi" w:cstheme="minorHAnsi"/>
          <w:b/>
          <w:sz w:val="22"/>
          <w:szCs w:val="22"/>
        </w:rPr>
        <w:t>Luxemburg</w:t>
      </w:r>
      <w:proofErr w:type="spellEnd"/>
      <w:r w:rsidR="00E6113F" w:rsidRPr="00E6113F">
        <w:rPr>
          <w:rFonts w:asciiTheme="minorHAnsi" w:hAnsiTheme="minorHAnsi" w:cstheme="minorHAnsi"/>
          <w:b/>
          <w:sz w:val="22"/>
          <w:szCs w:val="22"/>
        </w:rPr>
        <w:t xml:space="preserve"> SICAR SCA</w:t>
      </w:r>
      <w:r w:rsidR="00267428">
        <w:rPr>
          <w:rFonts w:asciiTheme="minorHAnsi" w:hAnsiTheme="minorHAnsi" w:cstheme="minorHAnsi"/>
          <w:sz w:val="22"/>
          <w:szCs w:val="22"/>
        </w:rPr>
        <w:t xml:space="preserve"> in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="00E6113F" w:rsidRPr="00E6113F">
        <w:rPr>
          <w:rFonts w:asciiTheme="minorHAnsi" w:hAnsiTheme="minorHAnsi" w:cstheme="minorHAnsi"/>
          <w:b/>
          <w:sz w:val="22"/>
          <w:szCs w:val="22"/>
        </w:rPr>
        <w:t>Menina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113F" w:rsidRPr="00E6113F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E6113F" w:rsidRPr="00E6113F">
        <w:rPr>
          <w:rFonts w:asciiTheme="minorHAnsi" w:hAnsiTheme="minorHAnsi" w:cstheme="minorHAnsi"/>
          <w:sz w:val="22"/>
          <w:szCs w:val="22"/>
        </w:rPr>
        <w:t xml:space="preserve">.. </w:t>
      </w:r>
      <w:r>
        <w:rPr>
          <w:rFonts w:asciiTheme="minorHAnsi" w:hAnsiTheme="minorHAnsi" w:cstheme="minorHAnsi"/>
          <w:sz w:val="22"/>
          <w:szCs w:val="22"/>
        </w:rPr>
        <w:t>V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minulem letu </w:t>
      </w:r>
      <w:r>
        <w:rPr>
          <w:rFonts w:asciiTheme="minorHAnsi" w:hAnsiTheme="minorHAnsi" w:cstheme="minorHAnsi"/>
          <w:sz w:val="22"/>
          <w:szCs w:val="22"/>
        </w:rPr>
        <w:t xml:space="preserve">je DUTB 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Slovenskemu državnemu holdingu </w:t>
      </w:r>
      <w:proofErr w:type="spellStart"/>
      <w:r w:rsidR="00E6113F" w:rsidRPr="00E6113F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E6113F" w:rsidRPr="00E6113F">
        <w:rPr>
          <w:rFonts w:asciiTheme="minorHAnsi" w:hAnsiTheme="minorHAnsi" w:cstheme="minorHAnsi"/>
          <w:sz w:val="22"/>
          <w:szCs w:val="22"/>
        </w:rPr>
        <w:t xml:space="preserve">. prodala 15.000 delnic družbe </w:t>
      </w:r>
      <w:r w:rsidR="00E6113F" w:rsidRPr="00E6113F">
        <w:rPr>
          <w:rFonts w:asciiTheme="minorHAnsi" w:hAnsiTheme="minorHAnsi" w:cstheme="minorHAnsi"/>
          <w:b/>
          <w:sz w:val="22"/>
          <w:szCs w:val="22"/>
        </w:rPr>
        <w:t xml:space="preserve">Petrol </w:t>
      </w:r>
      <w:proofErr w:type="spellStart"/>
      <w:r>
        <w:rPr>
          <w:rFonts w:asciiTheme="minorHAnsi" w:hAnsiTheme="minorHAnsi" w:cstheme="minorHAnsi"/>
          <w:sz w:val="22"/>
          <w:szCs w:val="22"/>
        </w:rPr>
        <w:t>d.d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.. </w:t>
      </w:r>
      <w:r w:rsidR="007C00B8">
        <w:rPr>
          <w:rFonts w:asciiTheme="minorHAnsi" w:hAnsiTheme="minorHAnsi" w:cstheme="minorHAnsi"/>
          <w:sz w:val="22"/>
          <w:szCs w:val="22"/>
        </w:rPr>
        <w:t>P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ridobila je že </w:t>
      </w:r>
      <w:r w:rsidR="00E6113F" w:rsidRPr="00E6113F">
        <w:rPr>
          <w:rFonts w:asciiTheme="minorHAnsi" w:hAnsiTheme="minorHAnsi" w:cstheme="minorHAnsi"/>
          <w:sz w:val="22"/>
          <w:szCs w:val="22"/>
        </w:rPr>
        <w:lastRenderedPageBreak/>
        <w:t>omenjeni 100</w:t>
      </w:r>
      <w:r w:rsidR="00E26809">
        <w:rPr>
          <w:rFonts w:asciiTheme="minorHAnsi" w:hAnsiTheme="minorHAnsi" w:cstheme="minorHAnsi"/>
          <w:sz w:val="22"/>
          <w:szCs w:val="22"/>
        </w:rPr>
        <w:t>-odstotni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lastniški delež v družbi </w:t>
      </w:r>
      <w:r w:rsidR="00E6113F" w:rsidRPr="00E6113F">
        <w:rPr>
          <w:rFonts w:asciiTheme="minorHAnsi" w:hAnsiTheme="minorHAnsi" w:cstheme="minorHAnsi"/>
          <w:b/>
          <w:sz w:val="22"/>
          <w:szCs w:val="22"/>
        </w:rPr>
        <w:t>Istrabenz turizem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113F" w:rsidRPr="00E6113F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E6113F" w:rsidRPr="00E6113F">
        <w:rPr>
          <w:rFonts w:asciiTheme="minorHAnsi" w:hAnsiTheme="minorHAnsi" w:cstheme="minorHAnsi"/>
          <w:sz w:val="22"/>
          <w:szCs w:val="22"/>
        </w:rPr>
        <w:t xml:space="preserve">. in ustanovila </w:t>
      </w:r>
      <w:r w:rsidR="00E6113F" w:rsidRPr="00E6113F">
        <w:rPr>
          <w:rFonts w:asciiTheme="minorHAnsi" w:hAnsiTheme="minorHAnsi" w:cstheme="minorHAnsi"/>
          <w:b/>
          <w:sz w:val="22"/>
          <w:szCs w:val="22"/>
        </w:rPr>
        <w:t>Sklad turističnih naložb</w:t>
      </w:r>
      <w:r w:rsidR="00E6113F" w:rsidRPr="00E6113F">
        <w:rPr>
          <w:rFonts w:asciiTheme="minorHAnsi" w:hAnsiTheme="minorHAnsi" w:cstheme="minorHAnsi"/>
          <w:sz w:val="22"/>
          <w:szCs w:val="22"/>
        </w:rPr>
        <w:t xml:space="preserve"> d.o.o.. </w:t>
      </w:r>
    </w:p>
    <w:p w14:paraId="1BEB6AE2" w14:textId="77777777" w:rsidR="00E6113F" w:rsidRPr="00E6113F" w:rsidRDefault="00E6113F" w:rsidP="00E6113F">
      <w:pPr>
        <w:jc w:val="both"/>
        <w:rPr>
          <w:rFonts w:asciiTheme="minorHAnsi" w:hAnsiTheme="minorHAnsi" w:cstheme="minorHAnsi"/>
          <w:color w:val="1F497D"/>
          <w:sz w:val="22"/>
          <w:szCs w:val="22"/>
        </w:rPr>
      </w:pPr>
    </w:p>
    <w:p w14:paraId="333C260B" w14:textId="028A63E0" w:rsidR="00E6113F" w:rsidRDefault="00E6113F" w:rsidP="00E6113F">
      <w:pPr>
        <w:jc w:val="both"/>
        <w:rPr>
          <w:rFonts w:asciiTheme="minorHAnsi" w:hAnsiTheme="minorHAnsi" w:cstheme="minorHAnsi"/>
          <w:sz w:val="22"/>
          <w:szCs w:val="22"/>
        </w:rPr>
      </w:pPr>
      <w:r w:rsidRPr="00BB16CC">
        <w:rPr>
          <w:rFonts w:asciiTheme="minorHAnsi" w:hAnsiTheme="minorHAnsi" w:cstheme="minorHAnsi"/>
          <w:sz w:val="22"/>
          <w:szCs w:val="22"/>
        </w:rPr>
        <w:t xml:space="preserve">Na področju </w:t>
      </w:r>
      <w:r w:rsidRPr="00267428">
        <w:rPr>
          <w:rFonts w:asciiTheme="minorHAnsi" w:hAnsiTheme="minorHAnsi" w:cstheme="minorHAnsi"/>
          <w:sz w:val="22"/>
          <w:szCs w:val="22"/>
        </w:rPr>
        <w:t>upravljanja nepremičnin</w:t>
      </w:r>
      <w:r w:rsidRPr="00E6113F">
        <w:rPr>
          <w:rFonts w:asciiTheme="minorHAnsi" w:hAnsiTheme="minorHAnsi" w:cstheme="minorHAnsi"/>
          <w:sz w:val="22"/>
          <w:szCs w:val="22"/>
        </w:rPr>
        <w:t xml:space="preserve"> je DUTB v minulem letu dosegla višje donose tudi zahvaljujoč uporabi različnih, klasičnih in sodobnih načinov prodaje, kot sta zbiranje zavezujočih ponudb in e-dražba. Do konca 2019 je </w:t>
      </w:r>
      <w:r w:rsidR="00962330">
        <w:rPr>
          <w:rFonts w:asciiTheme="minorHAnsi" w:hAnsiTheme="minorHAnsi" w:cstheme="minorHAnsi"/>
          <w:sz w:val="22"/>
          <w:szCs w:val="22"/>
        </w:rPr>
        <w:t xml:space="preserve">DUTB </w:t>
      </w:r>
      <w:r w:rsidRPr="00E6113F">
        <w:rPr>
          <w:rFonts w:asciiTheme="minorHAnsi" w:hAnsiTheme="minorHAnsi" w:cstheme="minorHAnsi"/>
          <w:sz w:val="22"/>
          <w:szCs w:val="22"/>
        </w:rPr>
        <w:t xml:space="preserve">prodala skoraj vsa od 164 stanovanj v stanovanjsko-poslovnem kompleksu </w:t>
      </w:r>
      <w:r w:rsidRPr="00E6113F">
        <w:rPr>
          <w:rFonts w:asciiTheme="minorHAnsi" w:hAnsiTheme="minorHAnsi" w:cstheme="minorHAnsi"/>
          <w:b/>
          <w:sz w:val="22"/>
          <w:szCs w:val="22"/>
        </w:rPr>
        <w:t>Koprska vrata</w:t>
      </w:r>
      <w:r w:rsidRPr="00E6113F">
        <w:rPr>
          <w:rFonts w:asciiTheme="minorHAnsi" w:hAnsiTheme="minorHAnsi" w:cstheme="minorHAnsi"/>
          <w:sz w:val="22"/>
          <w:szCs w:val="22"/>
        </w:rPr>
        <w:t>. Drugi pomemben projekt</w:t>
      </w:r>
      <w:r w:rsidR="00962330">
        <w:rPr>
          <w:rFonts w:asciiTheme="minorHAnsi" w:hAnsiTheme="minorHAnsi" w:cstheme="minorHAnsi"/>
          <w:sz w:val="22"/>
          <w:szCs w:val="22"/>
        </w:rPr>
        <w:t xml:space="preserve"> </w:t>
      </w:r>
      <w:r w:rsidRPr="00E6113F">
        <w:rPr>
          <w:rFonts w:asciiTheme="minorHAnsi" w:hAnsiTheme="minorHAnsi" w:cstheme="minorHAnsi"/>
          <w:sz w:val="22"/>
          <w:szCs w:val="22"/>
        </w:rPr>
        <w:t xml:space="preserve">je bila prodaja </w:t>
      </w:r>
      <w:r w:rsidR="006E2269" w:rsidRPr="00E6113F">
        <w:rPr>
          <w:rFonts w:asciiTheme="minorHAnsi" w:hAnsiTheme="minorHAnsi" w:cstheme="minorHAnsi"/>
          <w:sz w:val="22"/>
          <w:szCs w:val="22"/>
        </w:rPr>
        <w:t>največjega posameznega industrijskega zemljišča v državi</w:t>
      </w:r>
      <w:r w:rsidR="006E2269">
        <w:rPr>
          <w:rFonts w:asciiTheme="minorHAnsi" w:hAnsiTheme="minorHAnsi" w:cstheme="minorHAnsi"/>
          <w:sz w:val="22"/>
          <w:szCs w:val="22"/>
        </w:rPr>
        <w:t>,</w:t>
      </w:r>
      <w:r w:rsidR="006E2269"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Pr="00E6113F">
        <w:rPr>
          <w:rFonts w:asciiTheme="minorHAnsi" w:hAnsiTheme="minorHAnsi" w:cstheme="minorHAnsi"/>
          <w:sz w:val="22"/>
          <w:szCs w:val="22"/>
        </w:rPr>
        <w:t>zemljišča v</w:t>
      </w:r>
      <w:r w:rsidRPr="00E6113F">
        <w:rPr>
          <w:rFonts w:asciiTheme="minorHAnsi" w:hAnsiTheme="minorHAnsi" w:cstheme="minorHAnsi"/>
          <w:b/>
          <w:sz w:val="22"/>
          <w:szCs w:val="22"/>
        </w:rPr>
        <w:t xml:space="preserve"> Sežani</w:t>
      </w:r>
      <w:r w:rsidRPr="00E6113F">
        <w:rPr>
          <w:rFonts w:asciiTheme="minorHAnsi" w:hAnsiTheme="minorHAnsi" w:cstheme="minorHAnsi"/>
          <w:sz w:val="22"/>
          <w:szCs w:val="22"/>
        </w:rPr>
        <w:t xml:space="preserve">. </w:t>
      </w:r>
      <w:r w:rsidR="00962330">
        <w:rPr>
          <w:rFonts w:asciiTheme="minorHAnsi" w:hAnsiTheme="minorHAnsi" w:cstheme="minorHAnsi"/>
          <w:sz w:val="22"/>
          <w:szCs w:val="22"/>
        </w:rPr>
        <w:t>P</w:t>
      </w:r>
      <w:r w:rsidRPr="00E6113F">
        <w:rPr>
          <w:rFonts w:asciiTheme="minorHAnsi" w:hAnsiTheme="minorHAnsi" w:cstheme="minorHAnsi"/>
          <w:sz w:val="22"/>
          <w:szCs w:val="22"/>
        </w:rPr>
        <w:t>oleg uspe</w:t>
      </w:r>
      <w:r w:rsidR="006E2269">
        <w:rPr>
          <w:rFonts w:asciiTheme="minorHAnsi" w:hAnsiTheme="minorHAnsi" w:cstheme="minorHAnsi"/>
          <w:sz w:val="22"/>
          <w:szCs w:val="22"/>
        </w:rPr>
        <w:t>šne prodaje</w:t>
      </w:r>
      <w:r w:rsidRPr="00E6113F">
        <w:rPr>
          <w:rFonts w:asciiTheme="minorHAnsi" w:hAnsiTheme="minorHAnsi" w:cstheme="minorHAnsi"/>
          <w:sz w:val="22"/>
          <w:szCs w:val="22"/>
        </w:rPr>
        <w:t xml:space="preserve"> mednarodne</w:t>
      </w:r>
      <w:r w:rsidR="006E2269">
        <w:rPr>
          <w:rFonts w:asciiTheme="minorHAnsi" w:hAnsiTheme="minorHAnsi" w:cstheme="minorHAnsi"/>
          <w:sz w:val="22"/>
          <w:szCs w:val="22"/>
        </w:rPr>
        <w:t>mu</w:t>
      </w:r>
      <w:r w:rsidRPr="00E6113F">
        <w:rPr>
          <w:rFonts w:asciiTheme="minorHAnsi" w:hAnsiTheme="minorHAnsi" w:cstheme="minorHAnsi"/>
          <w:sz w:val="22"/>
          <w:szCs w:val="22"/>
        </w:rPr>
        <w:t xml:space="preserve"> investitorj</w:t>
      </w:r>
      <w:r w:rsidR="006E2269">
        <w:rPr>
          <w:rFonts w:asciiTheme="minorHAnsi" w:hAnsiTheme="minorHAnsi" w:cstheme="minorHAnsi"/>
          <w:sz w:val="22"/>
          <w:szCs w:val="22"/>
        </w:rPr>
        <w:t>u</w:t>
      </w:r>
      <w:r w:rsidRPr="00E6113F">
        <w:rPr>
          <w:rFonts w:asciiTheme="minorHAnsi" w:hAnsiTheme="minorHAnsi" w:cstheme="minorHAnsi"/>
          <w:sz w:val="22"/>
          <w:szCs w:val="22"/>
        </w:rPr>
        <w:t xml:space="preserve"> </w:t>
      </w:r>
      <w:r w:rsidR="006E2269">
        <w:rPr>
          <w:rFonts w:asciiTheme="minorHAnsi" w:hAnsiTheme="minorHAnsi" w:cstheme="minorHAnsi"/>
          <w:sz w:val="22"/>
          <w:szCs w:val="22"/>
        </w:rPr>
        <w:t xml:space="preserve"> gre za </w:t>
      </w:r>
      <w:r w:rsidRPr="00E6113F">
        <w:rPr>
          <w:rFonts w:asciiTheme="minorHAnsi" w:hAnsiTheme="minorHAnsi" w:cstheme="minorHAnsi"/>
          <w:sz w:val="22"/>
          <w:szCs w:val="22"/>
        </w:rPr>
        <w:t xml:space="preserve">pomembno </w:t>
      </w:r>
      <w:r w:rsidR="006E2269">
        <w:rPr>
          <w:rFonts w:asciiTheme="minorHAnsi" w:hAnsiTheme="minorHAnsi" w:cstheme="minorHAnsi"/>
          <w:sz w:val="22"/>
          <w:szCs w:val="22"/>
        </w:rPr>
        <w:t>pridobitev za občino Sežana</w:t>
      </w:r>
      <w:r w:rsidRPr="00E6113F">
        <w:rPr>
          <w:rFonts w:asciiTheme="minorHAnsi" w:hAnsiTheme="minorHAnsi" w:cstheme="minorHAnsi"/>
          <w:sz w:val="22"/>
          <w:szCs w:val="22"/>
        </w:rPr>
        <w:t xml:space="preserve">, </w:t>
      </w:r>
      <w:r w:rsidR="006E2269">
        <w:rPr>
          <w:rFonts w:asciiTheme="minorHAnsi" w:hAnsiTheme="minorHAnsi" w:cstheme="minorHAnsi"/>
          <w:sz w:val="22"/>
          <w:szCs w:val="22"/>
        </w:rPr>
        <w:t>saj</w:t>
      </w:r>
      <w:r w:rsidRPr="00E6113F">
        <w:rPr>
          <w:rFonts w:asciiTheme="minorHAnsi" w:hAnsiTheme="minorHAnsi" w:cstheme="minorHAnsi"/>
          <w:sz w:val="22"/>
          <w:szCs w:val="22"/>
        </w:rPr>
        <w:t xml:space="preserve"> se bo po dolgoletnem iskanju rešitev na tem zemljišču zgradil moderen </w:t>
      </w:r>
      <w:r w:rsidR="008632A2">
        <w:rPr>
          <w:rFonts w:asciiTheme="minorHAnsi" w:hAnsiTheme="minorHAnsi" w:cstheme="minorHAnsi"/>
          <w:sz w:val="22"/>
          <w:szCs w:val="22"/>
        </w:rPr>
        <w:t xml:space="preserve">in </w:t>
      </w:r>
      <w:r w:rsidRPr="00E6113F">
        <w:rPr>
          <w:rFonts w:asciiTheme="minorHAnsi" w:hAnsiTheme="minorHAnsi" w:cstheme="minorHAnsi"/>
          <w:sz w:val="22"/>
          <w:szCs w:val="22"/>
        </w:rPr>
        <w:t xml:space="preserve">največji logistični center v državi, ki bo </w:t>
      </w:r>
      <w:r w:rsidR="002F1514">
        <w:rPr>
          <w:rFonts w:asciiTheme="minorHAnsi" w:hAnsiTheme="minorHAnsi" w:cstheme="minorHAnsi"/>
          <w:sz w:val="22"/>
          <w:szCs w:val="22"/>
        </w:rPr>
        <w:t xml:space="preserve">po načrtih kupca </w:t>
      </w:r>
      <w:r w:rsidRPr="00E6113F">
        <w:rPr>
          <w:rFonts w:asciiTheme="minorHAnsi" w:hAnsiTheme="minorHAnsi" w:cstheme="minorHAnsi"/>
          <w:sz w:val="22"/>
          <w:szCs w:val="22"/>
        </w:rPr>
        <w:t>prinesel številna nova delovna mesta.</w:t>
      </w:r>
    </w:p>
    <w:p w14:paraId="31702BC8" w14:textId="6EE834E4" w:rsidR="00E6113F" w:rsidRPr="00E6113F" w:rsidRDefault="00E6113F" w:rsidP="00E6113F">
      <w:pPr>
        <w:jc w:val="both"/>
        <w:rPr>
          <w:rFonts w:asciiTheme="minorHAnsi" w:hAnsiTheme="minorHAnsi" w:cstheme="minorHAnsi"/>
          <w:sz w:val="22"/>
          <w:szCs w:val="22"/>
        </w:rPr>
      </w:pPr>
      <w:r w:rsidRPr="00E6113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C1D2FCD" w14:textId="77777777" w:rsidR="00E6113F" w:rsidRPr="00E6113F" w:rsidRDefault="00E6113F" w:rsidP="00E6113F">
      <w:pPr>
        <w:jc w:val="center"/>
        <w:rPr>
          <w:rFonts w:asciiTheme="minorHAnsi" w:hAnsiTheme="minorHAnsi" w:cstheme="minorHAnsi"/>
          <w:sz w:val="22"/>
          <w:szCs w:val="22"/>
        </w:rPr>
      </w:pPr>
      <w:r w:rsidRPr="00E6113F">
        <w:rPr>
          <w:rFonts w:asciiTheme="minorHAnsi" w:hAnsiTheme="minorHAnsi" w:cstheme="minorHAnsi"/>
          <w:sz w:val="22"/>
          <w:szCs w:val="22"/>
        </w:rPr>
        <w:t>***</w:t>
      </w:r>
    </w:p>
    <w:p w14:paraId="7ECB37E3" w14:textId="77777777" w:rsidR="00E6113F" w:rsidRDefault="00E6113F" w:rsidP="00E611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806D1" w14:textId="24AADFBD" w:rsidR="00991625" w:rsidRPr="00D86477" w:rsidRDefault="00E6113F" w:rsidP="00F3293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86477">
        <w:rPr>
          <w:rFonts w:asciiTheme="minorHAnsi" w:hAnsiTheme="minorHAnsi" w:cstheme="minorHAnsi"/>
          <w:i/>
          <w:sz w:val="22"/>
          <w:szCs w:val="22"/>
        </w:rPr>
        <w:t xml:space="preserve">Dodatna pojasnila: Jelka Novak Katona, svetovalka za upravljanje komunikacij, DUTB, e-naslov: </w:t>
      </w:r>
      <w:hyperlink r:id="rId10" w:history="1">
        <w:r w:rsidRPr="00D86477">
          <w:rPr>
            <w:rStyle w:val="Hyperlink"/>
            <w:rFonts w:asciiTheme="minorHAnsi" w:hAnsiTheme="minorHAnsi" w:cstheme="minorHAnsi"/>
            <w:i/>
            <w:sz w:val="22"/>
            <w:szCs w:val="22"/>
          </w:rPr>
          <w:t>jelka.novak-katona@dutb.eu</w:t>
        </w:r>
      </w:hyperlink>
      <w:r w:rsidRPr="00D86477">
        <w:rPr>
          <w:rFonts w:asciiTheme="minorHAnsi" w:hAnsiTheme="minorHAnsi" w:cstheme="minorHAnsi"/>
          <w:i/>
          <w:sz w:val="22"/>
          <w:szCs w:val="22"/>
        </w:rPr>
        <w:t>; T: 01 42 93 894; M: 030 362 810</w:t>
      </w:r>
    </w:p>
    <w:sectPr w:rsidR="00991625" w:rsidRPr="00D86477" w:rsidSect="00DB01B8">
      <w:headerReference w:type="default" r:id="rId11"/>
      <w:headerReference w:type="first" r:id="rId12"/>
      <w:footerReference w:type="first" r:id="rId13"/>
      <w:pgSz w:w="11906" w:h="16838" w:code="9"/>
      <w:pgMar w:top="2835" w:right="2268" w:bottom="2268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D72E26" w16cid:durableId="227A4028"/>
  <w16cid:commentId w16cid:paraId="201ECC9A" w16cid:durableId="227A41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44156" w14:textId="77777777" w:rsidR="00454CCE" w:rsidRDefault="00454CCE">
      <w:r>
        <w:separator/>
      </w:r>
    </w:p>
  </w:endnote>
  <w:endnote w:type="continuationSeparator" w:id="0">
    <w:p w14:paraId="67D442C2" w14:textId="77777777" w:rsidR="00454CCE" w:rsidRDefault="0045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7A396" w14:textId="77777777" w:rsidR="003B3C4B" w:rsidRDefault="00292E65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EF68F4F" wp14:editId="53E4D494">
          <wp:simplePos x="0" y="0"/>
          <wp:positionH relativeFrom="page">
            <wp:posOffset>1076325</wp:posOffset>
          </wp:positionH>
          <wp:positionV relativeFrom="page">
            <wp:posOffset>9829165</wp:posOffset>
          </wp:positionV>
          <wp:extent cx="5043805" cy="544195"/>
          <wp:effectExtent l="0" t="0" r="0" b="0"/>
          <wp:wrapSquare wrapText="bothSides"/>
          <wp:docPr id="10" name="Slika 13" descr="DUTB_Footer_SLO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UTB_Footer_SLO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80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A54B" w14:textId="77777777" w:rsidR="00454CCE" w:rsidRDefault="00454CCE">
      <w:r>
        <w:separator/>
      </w:r>
    </w:p>
  </w:footnote>
  <w:footnote w:type="continuationSeparator" w:id="0">
    <w:p w14:paraId="6ABE65FE" w14:textId="77777777" w:rsidR="00454CCE" w:rsidRDefault="00454CCE">
      <w:r>
        <w:continuationSeparator/>
      </w:r>
    </w:p>
  </w:footnote>
  <w:footnote w:id="1">
    <w:p w14:paraId="05B1662C" w14:textId="77777777" w:rsidR="00E6113F" w:rsidRDefault="00E6113F" w:rsidP="00E6113F">
      <w:pPr>
        <w:pStyle w:val="FootnoteText"/>
      </w:pPr>
      <w:r w:rsidRPr="00E6113F">
        <w:rPr>
          <w:rStyle w:val="FootnoteReference"/>
          <w:sz w:val="18"/>
          <w:szCs w:val="18"/>
        </w:rPr>
        <w:footnoteRef/>
      </w:r>
      <w:r w:rsidRPr="00E6113F">
        <w:rPr>
          <w:sz w:val="18"/>
          <w:szCs w:val="18"/>
        </w:rPr>
        <w:t xml:space="preserve"> Zadnje Smernice za delovanje DUTB sprejete 18. aprila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9BA55" w14:textId="77777777" w:rsidR="003B3C4B" w:rsidRDefault="00292E6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0B97D8" wp14:editId="34CCDD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28750" cy="1076325"/>
          <wp:effectExtent l="0" t="0" r="0" b="0"/>
          <wp:wrapSquare wrapText="bothSides"/>
          <wp:docPr id="7" name="Slika 9" descr="DUTB_Header_Pg2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UTB_Header_Pg2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F5A69" w14:textId="77777777" w:rsidR="003B3C4B" w:rsidRDefault="00292E65">
    <w:pPr>
      <w:pStyle w:val="Header"/>
    </w:pPr>
    <w:r>
      <w:rPr>
        <w:noProof/>
      </w:rPr>
      <w:drawing>
        <wp:anchor distT="0" distB="0" distL="114300" distR="114300" simplePos="0" relativeHeight="251658752" behindDoc="0" locked="1" layoutInCell="1" allowOverlap="1" wp14:anchorId="32634BD7" wp14:editId="26615495">
          <wp:simplePos x="0" y="0"/>
          <wp:positionH relativeFrom="page">
            <wp:posOffset>6120765</wp:posOffset>
          </wp:positionH>
          <wp:positionV relativeFrom="page">
            <wp:posOffset>180340</wp:posOffset>
          </wp:positionV>
          <wp:extent cx="1264920" cy="3394710"/>
          <wp:effectExtent l="0" t="0" r="0" b="0"/>
          <wp:wrapSquare wrapText="bothSides"/>
          <wp:docPr id="8" name="Slika 11" descr="DUTB_Header_SLO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UTB_Header_SLO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39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0DB"/>
    <w:multiLevelType w:val="hybridMultilevel"/>
    <w:tmpl w:val="B9F46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60FFF"/>
    <w:multiLevelType w:val="hybridMultilevel"/>
    <w:tmpl w:val="DEC4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F2ABA"/>
    <w:multiLevelType w:val="hybridMultilevel"/>
    <w:tmpl w:val="C626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6C5E"/>
    <w:multiLevelType w:val="hybridMultilevel"/>
    <w:tmpl w:val="1DCCA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7211"/>
    <w:multiLevelType w:val="hybridMultilevel"/>
    <w:tmpl w:val="2752C9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9466A"/>
    <w:multiLevelType w:val="hybridMultilevel"/>
    <w:tmpl w:val="26E6C2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C17EA"/>
    <w:multiLevelType w:val="hybridMultilevel"/>
    <w:tmpl w:val="33F46C42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52D1920"/>
    <w:multiLevelType w:val="hybridMultilevel"/>
    <w:tmpl w:val="3C9C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BBD"/>
    <w:multiLevelType w:val="hybridMultilevel"/>
    <w:tmpl w:val="ED1629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77570"/>
    <w:multiLevelType w:val="multilevel"/>
    <w:tmpl w:val="15861C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B160D8"/>
    <w:multiLevelType w:val="hybridMultilevel"/>
    <w:tmpl w:val="B02865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F3089D"/>
    <w:multiLevelType w:val="hybridMultilevel"/>
    <w:tmpl w:val="55E81036"/>
    <w:lvl w:ilvl="0" w:tplc="5B9E15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9E78D9"/>
    <w:multiLevelType w:val="hybridMultilevel"/>
    <w:tmpl w:val="D832A4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F2AF7"/>
    <w:multiLevelType w:val="multilevel"/>
    <w:tmpl w:val="1F3CA8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84004D6"/>
    <w:multiLevelType w:val="hybridMultilevel"/>
    <w:tmpl w:val="FD9A87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A3B13"/>
    <w:multiLevelType w:val="hybridMultilevel"/>
    <w:tmpl w:val="2D22D4BE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1556FB5"/>
    <w:multiLevelType w:val="hybridMultilevel"/>
    <w:tmpl w:val="A6524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83DF7"/>
    <w:multiLevelType w:val="hybridMultilevel"/>
    <w:tmpl w:val="D13EB6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374D3C"/>
    <w:multiLevelType w:val="hybridMultilevel"/>
    <w:tmpl w:val="8848D8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63067F"/>
    <w:multiLevelType w:val="hybridMultilevel"/>
    <w:tmpl w:val="CB482F1E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9A53351"/>
    <w:multiLevelType w:val="hybridMultilevel"/>
    <w:tmpl w:val="DF8CC2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B64371"/>
    <w:multiLevelType w:val="hybridMultilevel"/>
    <w:tmpl w:val="F88A4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2"/>
  </w:num>
  <w:num w:numId="7">
    <w:abstractNumId w:val="16"/>
  </w:num>
  <w:num w:numId="8">
    <w:abstractNumId w:val="12"/>
  </w:num>
  <w:num w:numId="9">
    <w:abstractNumId w:val="3"/>
  </w:num>
  <w:num w:numId="10">
    <w:abstractNumId w:val="6"/>
  </w:num>
  <w:num w:numId="11">
    <w:abstractNumId w:val="20"/>
  </w:num>
  <w:num w:numId="12">
    <w:abstractNumId w:val="7"/>
  </w:num>
  <w:num w:numId="13">
    <w:abstractNumId w:val="15"/>
  </w:num>
  <w:num w:numId="14">
    <w:abstractNumId w:val="5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21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07"/>
  <w:drawingGridVerticalSpacing w:val="5613"/>
  <w:doNotUseMarginsForDrawingGridOrigin/>
  <w:drawingGridHorizontalOrigin w:val="0"/>
  <w:drawingGridVerticalOrigin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98"/>
    <w:rsid w:val="0002154F"/>
    <w:rsid w:val="000309AC"/>
    <w:rsid w:val="00030A28"/>
    <w:rsid w:val="00040570"/>
    <w:rsid w:val="00041B01"/>
    <w:rsid w:val="00047FF2"/>
    <w:rsid w:val="0005666F"/>
    <w:rsid w:val="0006068B"/>
    <w:rsid w:val="00076FC0"/>
    <w:rsid w:val="000773E9"/>
    <w:rsid w:val="0008186A"/>
    <w:rsid w:val="00087024"/>
    <w:rsid w:val="00087829"/>
    <w:rsid w:val="000942D1"/>
    <w:rsid w:val="00097CA2"/>
    <w:rsid w:val="000A062F"/>
    <w:rsid w:val="000A499A"/>
    <w:rsid w:val="000A6B0D"/>
    <w:rsid w:val="000B0E67"/>
    <w:rsid w:val="000B5397"/>
    <w:rsid w:val="000B5D57"/>
    <w:rsid w:val="000C121E"/>
    <w:rsid w:val="000D5F4E"/>
    <w:rsid w:val="0010296A"/>
    <w:rsid w:val="00107D1C"/>
    <w:rsid w:val="00112608"/>
    <w:rsid w:val="0012252F"/>
    <w:rsid w:val="001425FE"/>
    <w:rsid w:val="00160A93"/>
    <w:rsid w:val="00162F36"/>
    <w:rsid w:val="00163C2D"/>
    <w:rsid w:val="0016452D"/>
    <w:rsid w:val="0017005A"/>
    <w:rsid w:val="00175078"/>
    <w:rsid w:val="00176D28"/>
    <w:rsid w:val="00181444"/>
    <w:rsid w:val="00183165"/>
    <w:rsid w:val="00183778"/>
    <w:rsid w:val="00183EA7"/>
    <w:rsid w:val="00196F85"/>
    <w:rsid w:val="001A14E0"/>
    <w:rsid w:val="001A5D24"/>
    <w:rsid w:val="001B3427"/>
    <w:rsid w:val="001B5DA0"/>
    <w:rsid w:val="001C610B"/>
    <w:rsid w:val="001D12C4"/>
    <w:rsid w:val="001F1CEB"/>
    <w:rsid w:val="00203BC5"/>
    <w:rsid w:val="00226CC8"/>
    <w:rsid w:val="0025191A"/>
    <w:rsid w:val="002550B8"/>
    <w:rsid w:val="00263166"/>
    <w:rsid w:val="00267428"/>
    <w:rsid w:val="00280DBA"/>
    <w:rsid w:val="00283BE2"/>
    <w:rsid w:val="002868F1"/>
    <w:rsid w:val="002920F5"/>
    <w:rsid w:val="00292E65"/>
    <w:rsid w:val="0029718B"/>
    <w:rsid w:val="002971DA"/>
    <w:rsid w:val="002A310E"/>
    <w:rsid w:val="002A3AEE"/>
    <w:rsid w:val="002B206A"/>
    <w:rsid w:val="002B7F8B"/>
    <w:rsid w:val="002C668C"/>
    <w:rsid w:val="002C774C"/>
    <w:rsid w:val="002D13F4"/>
    <w:rsid w:val="002E2190"/>
    <w:rsid w:val="002E47B5"/>
    <w:rsid w:val="002E6B9C"/>
    <w:rsid w:val="002F1514"/>
    <w:rsid w:val="002F35C8"/>
    <w:rsid w:val="003040BE"/>
    <w:rsid w:val="00315E60"/>
    <w:rsid w:val="0031784C"/>
    <w:rsid w:val="00330EB0"/>
    <w:rsid w:val="00332A84"/>
    <w:rsid w:val="00332F57"/>
    <w:rsid w:val="003402CA"/>
    <w:rsid w:val="0034333F"/>
    <w:rsid w:val="00344E8A"/>
    <w:rsid w:val="0034723E"/>
    <w:rsid w:val="003502EE"/>
    <w:rsid w:val="00351627"/>
    <w:rsid w:val="0036188E"/>
    <w:rsid w:val="003637CA"/>
    <w:rsid w:val="00365A19"/>
    <w:rsid w:val="0036782D"/>
    <w:rsid w:val="00367BB1"/>
    <w:rsid w:val="0038022D"/>
    <w:rsid w:val="00383332"/>
    <w:rsid w:val="00383E03"/>
    <w:rsid w:val="00383F8B"/>
    <w:rsid w:val="003878B1"/>
    <w:rsid w:val="00393BD3"/>
    <w:rsid w:val="003952B3"/>
    <w:rsid w:val="003A0197"/>
    <w:rsid w:val="003A1C2B"/>
    <w:rsid w:val="003B02C8"/>
    <w:rsid w:val="003B3C42"/>
    <w:rsid w:val="003B3C4B"/>
    <w:rsid w:val="003C26A7"/>
    <w:rsid w:val="003C5064"/>
    <w:rsid w:val="003C650D"/>
    <w:rsid w:val="003C7983"/>
    <w:rsid w:val="003D0E4E"/>
    <w:rsid w:val="003E5428"/>
    <w:rsid w:val="003E697C"/>
    <w:rsid w:val="003F7392"/>
    <w:rsid w:val="00406CA3"/>
    <w:rsid w:val="00411166"/>
    <w:rsid w:val="00422727"/>
    <w:rsid w:val="0042465E"/>
    <w:rsid w:val="00433401"/>
    <w:rsid w:val="004418C0"/>
    <w:rsid w:val="00443B6F"/>
    <w:rsid w:val="004456B8"/>
    <w:rsid w:val="00454CCE"/>
    <w:rsid w:val="00457A18"/>
    <w:rsid w:val="0046338C"/>
    <w:rsid w:val="0046625E"/>
    <w:rsid w:val="00470945"/>
    <w:rsid w:val="004712F5"/>
    <w:rsid w:val="0047388A"/>
    <w:rsid w:val="00475624"/>
    <w:rsid w:val="00476B1A"/>
    <w:rsid w:val="00477403"/>
    <w:rsid w:val="00492BF2"/>
    <w:rsid w:val="0049432F"/>
    <w:rsid w:val="0049435F"/>
    <w:rsid w:val="00497193"/>
    <w:rsid w:val="004B739B"/>
    <w:rsid w:val="004C1CC0"/>
    <w:rsid w:val="004C590D"/>
    <w:rsid w:val="004C7108"/>
    <w:rsid w:val="004D54CF"/>
    <w:rsid w:val="004D66D8"/>
    <w:rsid w:val="004E4F50"/>
    <w:rsid w:val="004E643D"/>
    <w:rsid w:val="004E772B"/>
    <w:rsid w:val="004F6F3E"/>
    <w:rsid w:val="004F7C75"/>
    <w:rsid w:val="00505E2D"/>
    <w:rsid w:val="0050748D"/>
    <w:rsid w:val="00511863"/>
    <w:rsid w:val="00514D28"/>
    <w:rsid w:val="00515D23"/>
    <w:rsid w:val="0052211D"/>
    <w:rsid w:val="005232EA"/>
    <w:rsid w:val="0052407E"/>
    <w:rsid w:val="00535924"/>
    <w:rsid w:val="00544F24"/>
    <w:rsid w:val="00570B19"/>
    <w:rsid w:val="00576BCA"/>
    <w:rsid w:val="005800B4"/>
    <w:rsid w:val="00582601"/>
    <w:rsid w:val="005910DF"/>
    <w:rsid w:val="00591F30"/>
    <w:rsid w:val="005A2F50"/>
    <w:rsid w:val="005B2E80"/>
    <w:rsid w:val="005C08B8"/>
    <w:rsid w:val="005C3A4E"/>
    <w:rsid w:val="005D3FA9"/>
    <w:rsid w:val="005E093F"/>
    <w:rsid w:val="005F35A8"/>
    <w:rsid w:val="005F3ACD"/>
    <w:rsid w:val="005F5421"/>
    <w:rsid w:val="00603ABA"/>
    <w:rsid w:val="0060524B"/>
    <w:rsid w:val="00617580"/>
    <w:rsid w:val="0062382B"/>
    <w:rsid w:val="00631B17"/>
    <w:rsid w:val="00650FBA"/>
    <w:rsid w:val="00656469"/>
    <w:rsid w:val="00656716"/>
    <w:rsid w:val="00662557"/>
    <w:rsid w:val="006627AB"/>
    <w:rsid w:val="00667A32"/>
    <w:rsid w:val="00673583"/>
    <w:rsid w:val="00677E88"/>
    <w:rsid w:val="00684A72"/>
    <w:rsid w:val="00686150"/>
    <w:rsid w:val="00690198"/>
    <w:rsid w:val="00691CDC"/>
    <w:rsid w:val="006A10A5"/>
    <w:rsid w:val="006A2F4E"/>
    <w:rsid w:val="006B20E7"/>
    <w:rsid w:val="006B295B"/>
    <w:rsid w:val="006B3CF1"/>
    <w:rsid w:val="006B5E34"/>
    <w:rsid w:val="006B72A8"/>
    <w:rsid w:val="006E001A"/>
    <w:rsid w:val="006E1C3A"/>
    <w:rsid w:val="006E2269"/>
    <w:rsid w:val="006E60CF"/>
    <w:rsid w:val="006F170B"/>
    <w:rsid w:val="00701A86"/>
    <w:rsid w:val="00702E06"/>
    <w:rsid w:val="00704B33"/>
    <w:rsid w:val="007115DA"/>
    <w:rsid w:val="00711801"/>
    <w:rsid w:val="00737AA0"/>
    <w:rsid w:val="007609C3"/>
    <w:rsid w:val="007611F8"/>
    <w:rsid w:val="007678E9"/>
    <w:rsid w:val="00770A42"/>
    <w:rsid w:val="00772EAA"/>
    <w:rsid w:val="00775E7A"/>
    <w:rsid w:val="00782026"/>
    <w:rsid w:val="007876DE"/>
    <w:rsid w:val="00787817"/>
    <w:rsid w:val="00792A97"/>
    <w:rsid w:val="007956C9"/>
    <w:rsid w:val="00795C4D"/>
    <w:rsid w:val="00796184"/>
    <w:rsid w:val="007967F3"/>
    <w:rsid w:val="007A3E35"/>
    <w:rsid w:val="007C00B8"/>
    <w:rsid w:val="007C3FCE"/>
    <w:rsid w:val="007D421C"/>
    <w:rsid w:val="007D4319"/>
    <w:rsid w:val="007F3B7F"/>
    <w:rsid w:val="007F6DED"/>
    <w:rsid w:val="0081005B"/>
    <w:rsid w:val="008100DE"/>
    <w:rsid w:val="00810261"/>
    <w:rsid w:val="00813434"/>
    <w:rsid w:val="00814611"/>
    <w:rsid w:val="00820041"/>
    <w:rsid w:val="0083016C"/>
    <w:rsid w:val="00830A26"/>
    <w:rsid w:val="00833DE7"/>
    <w:rsid w:val="00834644"/>
    <w:rsid w:val="00841270"/>
    <w:rsid w:val="008424BF"/>
    <w:rsid w:val="00851671"/>
    <w:rsid w:val="0085228E"/>
    <w:rsid w:val="008632A2"/>
    <w:rsid w:val="00880B33"/>
    <w:rsid w:val="00881433"/>
    <w:rsid w:val="00882727"/>
    <w:rsid w:val="00895287"/>
    <w:rsid w:val="00896A90"/>
    <w:rsid w:val="008B29A7"/>
    <w:rsid w:val="008B3D6C"/>
    <w:rsid w:val="008B5953"/>
    <w:rsid w:val="008B61D8"/>
    <w:rsid w:val="008C4045"/>
    <w:rsid w:val="008C6E78"/>
    <w:rsid w:val="008C7A15"/>
    <w:rsid w:val="008D2896"/>
    <w:rsid w:val="008D7640"/>
    <w:rsid w:val="00904C4B"/>
    <w:rsid w:val="00921271"/>
    <w:rsid w:val="00924815"/>
    <w:rsid w:val="00940E7D"/>
    <w:rsid w:val="00942C8C"/>
    <w:rsid w:val="009529E2"/>
    <w:rsid w:val="00953148"/>
    <w:rsid w:val="00961BAB"/>
    <w:rsid w:val="00962330"/>
    <w:rsid w:val="0098156D"/>
    <w:rsid w:val="0098542B"/>
    <w:rsid w:val="009906E5"/>
    <w:rsid w:val="00991625"/>
    <w:rsid w:val="0099169D"/>
    <w:rsid w:val="00992303"/>
    <w:rsid w:val="00992849"/>
    <w:rsid w:val="009B2DD7"/>
    <w:rsid w:val="009B2E19"/>
    <w:rsid w:val="009B3561"/>
    <w:rsid w:val="009B4C6E"/>
    <w:rsid w:val="009B5FBA"/>
    <w:rsid w:val="009C6AC3"/>
    <w:rsid w:val="009D19FA"/>
    <w:rsid w:val="009D63D1"/>
    <w:rsid w:val="009E23A9"/>
    <w:rsid w:val="009E2868"/>
    <w:rsid w:val="009E59CB"/>
    <w:rsid w:val="009F35CA"/>
    <w:rsid w:val="009F37F1"/>
    <w:rsid w:val="00A00E1E"/>
    <w:rsid w:val="00A20734"/>
    <w:rsid w:val="00A2312C"/>
    <w:rsid w:val="00A31D80"/>
    <w:rsid w:val="00A34BE3"/>
    <w:rsid w:val="00A40CD7"/>
    <w:rsid w:val="00A56186"/>
    <w:rsid w:val="00A64D39"/>
    <w:rsid w:val="00A65CBF"/>
    <w:rsid w:val="00A80460"/>
    <w:rsid w:val="00A81957"/>
    <w:rsid w:val="00A87E6E"/>
    <w:rsid w:val="00AA1664"/>
    <w:rsid w:val="00AA1F6E"/>
    <w:rsid w:val="00AA267E"/>
    <w:rsid w:val="00AB1787"/>
    <w:rsid w:val="00AB75B3"/>
    <w:rsid w:val="00AD004D"/>
    <w:rsid w:val="00AE297C"/>
    <w:rsid w:val="00AE3E23"/>
    <w:rsid w:val="00AE4C72"/>
    <w:rsid w:val="00AE5B93"/>
    <w:rsid w:val="00AE5DAC"/>
    <w:rsid w:val="00AF57C3"/>
    <w:rsid w:val="00AF621A"/>
    <w:rsid w:val="00B23BCB"/>
    <w:rsid w:val="00B2737E"/>
    <w:rsid w:val="00B319AE"/>
    <w:rsid w:val="00B3226A"/>
    <w:rsid w:val="00B51584"/>
    <w:rsid w:val="00B53343"/>
    <w:rsid w:val="00B55AE9"/>
    <w:rsid w:val="00B60EDE"/>
    <w:rsid w:val="00B62AB1"/>
    <w:rsid w:val="00B66B5A"/>
    <w:rsid w:val="00B70269"/>
    <w:rsid w:val="00B7173A"/>
    <w:rsid w:val="00B77714"/>
    <w:rsid w:val="00B80482"/>
    <w:rsid w:val="00B8228B"/>
    <w:rsid w:val="00B84C7D"/>
    <w:rsid w:val="00B90A3E"/>
    <w:rsid w:val="00B921DB"/>
    <w:rsid w:val="00B9548F"/>
    <w:rsid w:val="00BB16CC"/>
    <w:rsid w:val="00BC7CA0"/>
    <w:rsid w:val="00BD1D60"/>
    <w:rsid w:val="00BD54EE"/>
    <w:rsid w:val="00BE5FE5"/>
    <w:rsid w:val="00BF336A"/>
    <w:rsid w:val="00BF410D"/>
    <w:rsid w:val="00BF727B"/>
    <w:rsid w:val="00BF7B28"/>
    <w:rsid w:val="00C1500E"/>
    <w:rsid w:val="00C215D4"/>
    <w:rsid w:val="00C217A5"/>
    <w:rsid w:val="00C303C2"/>
    <w:rsid w:val="00C35F9C"/>
    <w:rsid w:val="00C44C78"/>
    <w:rsid w:val="00C47187"/>
    <w:rsid w:val="00C479DD"/>
    <w:rsid w:val="00C50DEE"/>
    <w:rsid w:val="00C51F70"/>
    <w:rsid w:val="00C577DF"/>
    <w:rsid w:val="00C60D69"/>
    <w:rsid w:val="00C728F4"/>
    <w:rsid w:val="00C73E31"/>
    <w:rsid w:val="00C96901"/>
    <w:rsid w:val="00C96995"/>
    <w:rsid w:val="00C97BE7"/>
    <w:rsid w:val="00CA6790"/>
    <w:rsid w:val="00CC6330"/>
    <w:rsid w:val="00CC6424"/>
    <w:rsid w:val="00CC78C6"/>
    <w:rsid w:val="00CD2118"/>
    <w:rsid w:val="00CD3A83"/>
    <w:rsid w:val="00CD40E8"/>
    <w:rsid w:val="00CD41CD"/>
    <w:rsid w:val="00CD7490"/>
    <w:rsid w:val="00CE2C98"/>
    <w:rsid w:val="00CE70A8"/>
    <w:rsid w:val="00D1527C"/>
    <w:rsid w:val="00D15E83"/>
    <w:rsid w:val="00D309A6"/>
    <w:rsid w:val="00D579EE"/>
    <w:rsid w:val="00D61A96"/>
    <w:rsid w:val="00D62DE0"/>
    <w:rsid w:val="00D6421A"/>
    <w:rsid w:val="00D64FCA"/>
    <w:rsid w:val="00D66E99"/>
    <w:rsid w:val="00D67AD9"/>
    <w:rsid w:val="00D8293D"/>
    <w:rsid w:val="00D86477"/>
    <w:rsid w:val="00D91CE3"/>
    <w:rsid w:val="00D95B34"/>
    <w:rsid w:val="00D95E28"/>
    <w:rsid w:val="00DA0BF1"/>
    <w:rsid w:val="00DA32EC"/>
    <w:rsid w:val="00DB01B8"/>
    <w:rsid w:val="00DC5900"/>
    <w:rsid w:val="00DD0824"/>
    <w:rsid w:val="00DD0ED5"/>
    <w:rsid w:val="00DD65F6"/>
    <w:rsid w:val="00DD7D81"/>
    <w:rsid w:val="00DE5BE2"/>
    <w:rsid w:val="00E03607"/>
    <w:rsid w:val="00E07831"/>
    <w:rsid w:val="00E14A1E"/>
    <w:rsid w:val="00E24EAE"/>
    <w:rsid w:val="00E26809"/>
    <w:rsid w:val="00E2750B"/>
    <w:rsid w:val="00E53EE8"/>
    <w:rsid w:val="00E55C9E"/>
    <w:rsid w:val="00E57CD1"/>
    <w:rsid w:val="00E6113F"/>
    <w:rsid w:val="00E66971"/>
    <w:rsid w:val="00E72107"/>
    <w:rsid w:val="00E86108"/>
    <w:rsid w:val="00E86E7C"/>
    <w:rsid w:val="00E90325"/>
    <w:rsid w:val="00E968D8"/>
    <w:rsid w:val="00E96D6B"/>
    <w:rsid w:val="00EC254B"/>
    <w:rsid w:val="00EE17AC"/>
    <w:rsid w:val="00EE5397"/>
    <w:rsid w:val="00EE6154"/>
    <w:rsid w:val="00EF6633"/>
    <w:rsid w:val="00F068CA"/>
    <w:rsid w:val="00F2235A"/>
    <w:rsid w:val="00F3293C"/>
    <w:rsid w:val="00F42B5A"/>
    <w:rsid w:val="00F51B69"/>
    <w:rsid w:val="00F64204"/>
    <w:rsid w:val="00F75B0F"/>
    <w:rsid w:val="00F81941"/>
    <w:rsid w:val="00F83853"/>
    <w:rsid w:val="00F9504B"/>
    <w:rsid w:val="00F97134"/>
    <w:rsid w:val="00FA232B"/>
    <w:rsid w:val="00FA401D"/>
    <w:rsid w:val="00FB1C45"/>
    <w:rsid w:val="00FB3980"/>
    <w:rsid w:val="00FB6BBF"/>
    <w:rsid w:val="00FC0DF9"/>
    <w:rsid w:val="00FC3EBA"/>
    <w:rsid w:val="00FC6F67"/>
    <w:rsid w:val="00FE34E2"/>
    <w:rsid w:val="00FE3DEB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612FF9A"/>
  <w15:chartTrackingRefBased/>
  <w15:docId w15:val="{EB67110F-6CEC-4D58-8619-801DD4F5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01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019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7820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Odstavekseznama1">
    <w:name w:val="Odstavek seznama1"/>
    <w:basedOn w:val="Normal"/>
    <w:rsid w:val="00175078"/>
    <w:pPr>
      <w:spacing w:line="276" w:lineRule="auto"/>
      <w:ind w:left="720"/>
    </w:pPr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35F9C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35F9C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96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8D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04C4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4C4B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rsid w:val="00833D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3D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3DE7"/>
  </w:style>
  <w:style w:type="paragraph" w:styleId="CommentSubject">
    <w:name w:val="annotation subject"/>
    <w:basedOn w:val="CommentText"/>
    <w:next w:val="CommentText"/>
    <w:link w:val="CommentSubjectChar"/>
    <w:rsid w:val="0083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3DE7"/>
    <w:rPr>
      <w:b/>
      <w:bCs/>
    </w:rPr>
  </w:style>
  <w:style w:type="character" w:customStyle="1" w:styleId="apple-converted-space">
    <w:name w:val="apple-converted-space"/>
    <w:basedOn w:val="DefaultParagraphFont"/>
    <w:rsid w:val="00D15E83"/>
  </w:style>
  <w:style w:type="paragraph" w:styleId="NormalWeb">
    <w:name w:val="Normal (Web)"/>
    <w:basedOn w:val="Normal"/>
    <w:uiPriority w:val="99"/>
    <w:unhideWhenUsed/>
    <w:rsid w:val="003C798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F42B5A"/>
    <w:rPr>
      <w:color w:val="954F72" w:themeColor="followedHyperlink"/>
      <w:u w:val="single"/>
    </w:rPr>
  </w:style>
  <w:style w:type="paragraph" w:customStyle="1" w:styleId="CalSLO">
    <w:name w:val="Cal SLO"/>
    <w:basedOn w:val="Normal"/>
    <w:link w:val="CalSLOChar"/>
    <w:qFormat/>
    <w:rsid w:val="00E6113F"/>
    <w:pPr>
      <w:spacing w:line="288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lSLOChar">
    <w:name w:val="Cal SLO Char"/>
    <w:basedOn w:val="DefaultParagraphFont"/>
    <w:link w:val="CalSLO"/>
    <w:rsid w:val="00E611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">
    <w:name w:val="Body"/>
    <w:basedOn w:val="Normal"/>
    <w:rsid w:val="00E6113F"/>
    <w:rPr>
      <w:rFonts w:ascii="Arial" w:eastAsiaTheme="minorHAnsi" w:hAnsi="Arial" w:cs="Arial"/>
      <w:color w:val="000000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E6113F"/>
    <w:pPr>
      <w:spacing w:after="60"/>
      <w:jc w:val="both"/>
    </w:pPr>
    <w:rPr>
      <w:rFonts w:ascii="Calibri" w:eastAsia="PMingLiU" w:hAnsi="Calibri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113F"/>
    <w:rPr>
      <w:rFonts w:ascii="Calibri" w:eastAsia="PMingLiU" w:hAnsi="Calibri"/>
      <w:snapToGrid w:val="0"/>
    </w:rPr>
  </w:style>
  <w:style w:type="character" w:styleId="FootnoteReference">
    <w:name w:val="footnote reference"/>
    <w:uiPriority w:val="99"/>
    <w:unhideWhenUsed/>
    <w:rsid w:val="00E6113F"/>
    <w:rPr>
      <w:rFonts w:ascii="Calibri" w:hAnsi="Calibri"/>
      <w:color w:val="auto"/>
      <w:vertAlign w:val="superscript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lka.novak-katona@dutb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53B8-E094-463E-BBD2-6F96C15F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PODJETJE, d</vt:lpstr>
      <vt:lpstr>PODJETJE, d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PODJETJE, d</dc:title>
  <dc:subject/>
  <dc:creator>IZTOK</dc:creator>
  <cp:keywords/>
  <dc:description/>
  <cp:lastModifiedBy>Jelka Novak Katona</cp:lastModifiedBy>
  <cp:revision>3</cp:revision>
  <cp:lastPrinted>2020-01-28T08:31:00Z</cp:lastPrinted>
  <dcterms:created xsi:type="dcterms:W3CDTF">2020-05-28T12:48:00Z</dcterms:created>
  <dcterms:modified xsi:type="dcterms:W3CDTF">2020-05-28T13:35:00Z</dcterms:modified>
</cp:coreProperties>
</file>