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31034" w14:textId="4A08739F" w:rsidR="00E31AA2" w:rsidRPr="00992E71" w:rsidRDefault="00D26A22" w:rsidP="00B62E40">
      <w:pPr>
        <w:rPr>
          <w:rFonts w:ascii="Open Sans" w:hAnsi="Open Sans" w:cs="Open Sans"/>
          <w:b/>
          <w:sz w:val="24"/>
          <w:szCs w:val="24"/>
        </w:rPr>
      </w:pPr>
      <w:r w:rsidRPr="00992E71">
        <w:rPr>
          <w:rFonts w:ascii="Open Sans" w:hAnsi="Open Sans" w:cs="Open Sans"/>
          <w:b/>
          <w:sz w:val="24"/>
          <w:szCs w:val="24"/>
        </w:rPr>
        <w:t xml:space="preserve">Nerevidirano poročilo o poslovanju družbe NAMA </w:t>
      </w:r>
      <w:proofErr w:type="spellStart"/>
      <w:r w:rsidRPr="00992E71">
        <w:rPr>
          <w:rFonts w:ascii="Open Sans" w:hAnsi="Open Sans" w:cs="Open Sans"/>
          <w:b/>
          <w:sz w:val="24"/>
          <w:szCs w:val="24"/>
        </w:rPr>
        <w:t>d.d</w:t>
      </w:r>
      <w:proofErr w:type="spellEnd"/>
      <w:r w:rsidRPr="00992E71">
        <w:rPr>
          <w:rFonts w:ascii="Open Sans" w:hAnsi="Open Sans" w:cs="Open Sans"/>
          <w:b/>
          <w:sz w:val="24"/>
          <w:szCs w:val="24"/>
        </w:rPr>
        <w:t>.</w:t>
      </w:r>
      <w:r w:rsidR="004235BF" w:rsidRPr="00992E71">
        <w:rPr>
          <w:rFonts w:ascii="Open Sans" w:hAnsi="Open Sans" w:cs="Open Sans"/>
          <w:b/>
          <w:sz w:val="24"/>
          <w:szCs w:val="24"/>
        </w:rPr>
        <w:t xml:space="preserve"> Ljubljana</w:t>
      </w:r>
      <w:r w:rsidR="00D809DB">
        <w:rPr>
          <w:rFonts w:ascii="Open Sans" w:hAnsi="Open Sans" w:cs="Open Sans"/>
          <w:b/>
          <w:sz w:val="24"/>
          <w:szCs w:val="24"/>
        </w:rPr>
        <w:t xml:space="preserve"> za obdobje 1.1. do 30.6</w:t>
      </w:r>
      <w:r w:rsidR="0029760B">
        <w:rPr>
          <w:rFonts w:ascii="Open Sans" w:hAnsi="Open Sans" w:cs="Open Sans"/>
          <w:b/>
          <w:sz w:val="24"/>
          <w:szCs w:val="24"/>
        </w:rPr>
        <w:t>.2020</w:t>
      </w:r>
      <w:r w:rsidRPr="00992E71">
        <w:rPr>
          <w:rFonts w:ascii="Open Sans" w:hAnsi="Open Sans" w:cs="Open Sans"/>
          <w:b/>
          <w:sz w:val="24"/>
          <w:szCs w:val="24"/>
        </w:rPr>
        <w:t xml:space="preserve"> </w:t>
      </w:r>
    </w:p>
    <w:p w14:paraId="1AF16C57" w14:textId="77777777" w:rsidR="00D601D5" w:rsidRPr="00992E71" w:rsidRDefault="00D601D5" w:rsidP="00536A5D">
      <w:pPr>
        <w:rPr>
          <w:rFonts w:ascii="Open Sans" w:hAnsi="Open Sans" w:cs="Open Sans"/>
          <w:b/>
          <w:sz w:val="24"/>
          <w:szCs w:val="24"/>
        </w:rPr>
      </w:pPr>
    </w:p>
    <w:p w14:paraId="3AD60A17" w14:textId="77777777" w:rsidR="00B62E40" w:rsidRPr="00992E71" w:rsidRDefault="00536A5D" w:rsidP="00A865B3">
      <w:pPr>
        <w:pStyle w:val="Odstavekseznama"/>
        <w:numPr>
          <w:ilvl w:val="0"/>
          <w:numId w:val="12"/>
        </w:numPr>
        <w:jc w:val="both"/>
        <w:rPr>
          <w:rFonts w:ascii="Open Sans" w:hAnsi="Open Sans" w:cs="Open Sans"/>
          <w:b/>
          <w:sz w:val="24"/>
          <w:szCs w:val="24"/>
        </w:rPr>
      </w:pPr>
      <w:r w:rsidRPr="00992E71">
        <w:rPr>
          <w:rFonts w:ascii="Open Sans" w:hAnsi="Open Sans" w:cs="Open Sans"/>
          <w:b/>
          <w:sz w:val="24"/>
          <w:szCs w:val="24"/>
        </w:rPr>
        <w:t>UVOD</w:t>
      </w:r>
    </w:p>
    <w:p w14:paraId="404DEEF2" w14:textId="4DE7A37A" w:rsidR="009205E6" w:rsidRPr="00992E71" w:rsidRDefault="00695A6E" w:rsidP="009B63BB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Na podlagi Pravil Ljubljanske borze, Zakona o trgu finančnih instrumentov in druge veljavne zakono</w:t>
      </w:r>
      <w:r w:rsidR="00C524EA" w:rsidRPr="00992E71">
        <w:rPr>
          <w:rFonts w:ascii="Open Sans" w:hAnsi="Open Sans" w:cs="Open Sans"/>
          <w:sz w:val="20"/>
          <w:szCs w:val="20"/>
        </w:rPr>
        <w:t xml:space="preserve">daje družba </w:t>
      </w:r>
      <w:r w:rsidR="00A52CDC" w:rsidRPr="00992E71">
        <w:rPr>
          <w:rFonts w:ascii="Open Sans" w:hAnsi="Open Sans" w:cs="Open Sans"/>
          <w:sz w:val="20"/>
          <w:szCs w:val="20"/>
        </w:rPr>
        <w:t>NAMA</w:t>
      </w:r>
      <w:r w:rsidR="00C524EA" w:rsidRPr="00992E7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C524EA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="00C524EA" w:rsidRPr="00992E71">
        <w:rPr>
          <w:rFonts w:ascii="Open Sans" w:hAnsi="Open Sans" w:cs="Open Sans"/>
          <w:sz w:val="20"/>
          <w:szCs w:val="20"/>
        </w:rPr>
        <w:t>.</w:t>
      </w:r>
      <w:r w:rsidR="00A52CDC" w:rsidRPr="00992E71">
        <w:rPr>
          <w:rFonts w:ascii="Open Sans" w:hAnsi="Open Sans" w:cs="Open Sans"/>
          <w:sz w:val="20"/>
          <w:szCs w:val="20"/>
        </w:rPr>
        <w:t xml:space="preserve"> Ljubljana</w:t>
      </w:r>
      <w:r w:rsidR="00C524EA" w:rsidRPr="00992E71">
        <w:rPr>
          <w:rFonts w:ascii="Open Sans" w:hAnsi="Open Sans" w:cs="Open Sans"/>
          <w:sz w:val="20"/>
          <w:szCs w:val="20"/>
        </w:rPr>
        <w:t xml:space="preserve"> objavlja N</w:t>
      </w:r>
      <w:r w:rsidRPr="00992E71">
        <w:rPr>
          <w:rFonts w:ascii="Open Sans" w:hAnsi="Open Sans" w:cs="Open Sans"/>
          <w:sz w:val="20"/>
          <w:szCs w:val="20"/>
        </w:rPr>
        <w:t xml:space="preserve">erevidirano </w:t>
      </w:r>
      <w:r w:rsidR="00C524EA" w:rsidRPr="00992E71">
        <w:rPr>
          <w:rFonts w:ascii="Open Sans" w:hAnsi="Open Sans" w:cs="Open Sans"/>
          <w:sz w:val="20"/>
          <w:szCs w:val="20"/>
        </w:rPr>
        <w:t>poročilo o poslovanju družbe</w:t>
      </w:r>
      <w:r w:rsidR="00C444C8" w:rsidRPr="00992E71">
        <w:rPr>
          <w:rFonts w:ascii="Open Sans" w:hAnsi="Open Sans" w:cs="Open Sans"/>
          <w:sz w:val="20"/>
          <w:szCs w:val="20"/>
        </w:rPr>
        <w:t xml:space="preserve"> NAMA </w:t>
      </w:r>
      <w:proofErr w:type="spellStart"/>
      <w:r w:rsidR="00C444C8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="00C444C8" w:rsidRPr="00992E71">
        <w:rPr>
          <w:rFonts w:ascii="Open Sans" w:hAnsi="Open Sans" w:cs="Open Sans"/>
          <w:sz w:val="20"/>
          <w:szCs w:val="20"/>
        </w:rPr>
        <w:t>. Ljubljana</w:t>
      </w:r>
      <w:r w:rsidR="00C524EA" w:rsidRPr="00992E71">
        <w:rPr>
          <w:rFonts w:ascii="Open Sans" w:hAnsi="Open Sans" w:cs="Open Sans"/>
          <w:sz w:val="20"/>
          <w:szCs w:val="20"/>
        </w:rPr>
        <w:t xml:space="preserve"> za</w:t>
      </w:r>
      <w:r w:rsidR="00DC4D40">
        <w:rPr>
          <w:rFonts w:ascii="Open Sans" w:hAnsi="Open Sans" w:cs="Open Sans"/>
          <w:sz w:val="20"/>
          <w:szCs w:val="20"/>
        </w:rPr>
        <w:t xml:space="preserve"> obdobje 1.1. do 30.6</w:t>
      </w:r>
      <w:r w:rsidR="000112F3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08D4848C" w14:textId="25BA04A6" w:rsidR="00695A6E" w:rsidRPr="00992E71" w:rsidRDefault="00695A6E" w:rsidP="009B63BB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Nerevidirano poročilo o poslovanju družbe</w:t>
      </w:r>
      <w:r w:rsidR="006B0024" w:rsidRPr="00992E71">
        <w:rPr>
          <w:rFonts w:ascii="Open Sans" w:hAnsi="Open Sans" w:cs="Open Sans"/>
          <w:sz w:val="20"/>
          <w:szCs w:val="20"/>
        </w:rPr>
        <w:t xml:space="preserve"> NAMA </w:t>
      </w:r>
      <w:proofErr w:type="spellStart"/>
      <w:r w:rsidR="006B0024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="006B0024" w:rsidRPr="00992E71">
        <w:rPr>
          <w:rFonts w:ascii="Open Sans" w:hAnsi="Open Sans" w:cs="Open Sans"/>
          <w:sz w:val="20"/>
          <w:szCs w:val="20"/>
        </w:rPr>
        <w:t>. Ljubljana</w:t>
      </w:r>
      <w:r w:rsidR="00DC4D40">
        <w:rPr>
          <w:rFonts w:ascii="Open Sans" w:hAnsi="Open Sans" w:cs="Open Sans"/>
          <w:sz w:val="20"/>
          <w:szCs w:val="20"/>
        </w:rPr>
        <w:t xml:space="preserve"> za obdobje 1.1. do 30.6</w:t>
      </w:r>
      <w:r w:rsidR="000112F3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je dostopno</w:t>
      </w:r>
      <w:r w:rsidR="00C524EA" w:rsidRPr="00992E71">
        <w:rPr>
          <w:rFonts w:ascii="Open Sans" w:hAnsi="Open Sans" w:cs="Open Sans"/>
          <w:sz w:val="20"/>
          <w:szCs w:val="20"/>
        </w:rPr>
        <w:t xml:space="preserve"> na spletnih straneh Ljubljanske borze v sklopu sistema elektronskega obveščanja </w:t>
      </w:r>
      <w:proofErr w:type="spellStart"/>
      <w:r w:rsidR="00C524EA" w:rsidRPr="00992E71">
        <w:rPr>
          <w:rFonts w:ascii="Open Sans" w:hAnsi="Open Sans" w:cs="Open Sans"/>
          <w:sz w:val="20"/>
          <w:szCs w:val="20"/>
        </w:rPr>
        <w:t>SEOnet</w:t>
      </w:r>
      <w:proofErr w:type="spellEnd"/>
      <w:r w:rsidR="00C524EA" w:rsidRPr="00992E71">
        <w:rPr>
          <w:rFonts w:ascii="Open Sans" w:hAnsi="Open Sans" w:cs="Open Sans"/>
          <w:sz w:val="20"/>
          <w:szCs w:val="20"/>
        </w:rPr>
        <w:t xml:space="preserve"> (</w:t>
      </w:r>
      <w:hyperlink r:id="rId8" w:history="1">
        <w:r w:rsidR="00C524EA" w:rsidRPr="00992E71">
          <w:rPr>
            <w:rStyle w:val="Hiperpovezava"/>
            <w:rFonts w:ascii="Open Sans" w:hAnsi="Open Sans" w:cs="Open Sans"/>
            <w:sz w:val="20"/>
            <w:szCs w:val="20"/>
          </w:rPr>
          <w:t>http://seonet.ljse.si</w:t>
        </w:r>
      </w:hyperlink>
      <w:r w:rsidR="00C524EA" w:rsidRPr="00992E71">
        <w:rPr>
          <w:rFonts w:ascii="Open Sans" w:hAnsi="Open Sans" w:cs="Open Sans"/>
          <w:sz w:val="20"/>
          <w:szCs w:val="20"/>
        </w:rPr>
        <w:t>)</w:t>
      </w:r>
      <w:r w:rsidR="00FE56CB"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5BED9F09" w14:textId="7FCAA29A" w:rsidR="002A03A0" w:rsidRPr="00992E71" w:rsidRDefault="000E4664" w:rsidP="009B63BB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</w:t>
      </w:r>
      <w:r w:rsidR="002A03A0" w:rsidRPr="00992E71">
        <w:rPr>
          <w:rFonts w:ascii="Open Sans" w:hAnsi="Open Sans" w:cs="Open Sans"/>
          <w:sz w:val="20"/>
          <w:szCs w:val="20"/>
        </w:rPr>
        <w:t xml:space="preserve">adzorni svet družbe </w:t>
      </w:r>
      <w:r w:rsidRPr="00992E71">
        <w:rPr>
          <w:rFonts w:ascii="Open Sans" w:hAnsi="Open Sans" w:cs="Open Sans"/>
          <w:sz w:val="20"/>
          <w:szCs w:val="20"/>
        </w:rPr>
        <w:t xml:space="preserve">je poročilo </w:t>
      </w:r>
      <w:r w:rsidR="002A03A0" w:rsidRPr="00992E71">
        <w:rPr>
          <w:rFonts w:ascii="Open Sans" w:hAnsi="Open Sans" w:cs="Open Sans"/>
          <w:sz w:val="20"/>
          <w:szCs w:val="20"/>
        </w:rPr>
        <w:t xml:space="preserve">obravnaval na redni seji </w:t>
      </w:r>
      <w:r w:rsidR="008C362A" w:rsidRPr="00317B68">
        <w:rPr>
          <w:rFonts w:ascii="Open Sans" w:hAnsi="Open Sans" w:cs="Open Sans"/>
          <w:sz w:val="20"/>
          <w:szCs w:val="20"/>
        </w:rPr>
        <w:t xml:space="preserve">dne </w:t>
      </w:r>
      <w:r w:rsidR="002D5FEC" w:rsidRPr="00B50CE1">
        <w:rPr>
          <w:rFonts w:ascii="Open Sans" w:hAnsi="Open Sans" w:cs="Open Sans"/>
          <w:sz w:val="20"/>
          <w:szCs w:val="20"/>
        </w:rPr>
        <w:t>26.8</w:t>
      </w:r>
      <w:r w:rsidR="000112F3" w:rsidRPr="00B50CE1">
        <w:rPr>
          <w:rFonts w:ascii="Open Sans" w:hAnsi="Open Sans" w:cs="Open Sans"/>
          <w:sz w:val="20"/>
          <w:szCs w:val="20"/>
        </w:rPr>
        <w:t>.2020</w:t>
      </w:r>
      <w:r w:rsidR="00040332" w:rsidRPr="00B50CE1">
        <w:rPr>
          <w:rFonts w:ascii="Open Sans" w:hAnsi="Open Sans" w:cs="Open Sans"/>
          <w:sz w:val="20"/>
          <w:szCs w:val="20"/>
        </w:rPr>
        <w:t>.</w:t>
      </w:r>
    </w:p>
    <w:p w14:paraId="45FB149B" w14:textId="77777777" w:rsidR="009205E6" w:rsidRPr="00992E71" w:rsidRDefault="0012301F" w:rsidP="009205E6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Vse p</w:t>
      </w:r>
      <w:r w:rsidR="009205E6" w:rsidRPr="00992E71">
        <w:rPr>
          <w:rFonts w:ascii="Open Sans" w:hAnsi="Open Sans" w:cs="Open Sans"/>
          <w:sz w:val="20"/>
          <w:szCs w:val="20"/>
        </w:rPr>
        <w:t xml:space="preserve">omembnejše spremembe podatkov, ki jih vsebuje prospekt za borzno kotacijo, družba NAMA </w:t>
      </w:r>
      <w:proofErr w:type="spellStart"/>
      <w:r w:rsidR="009205E6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="009205E6" w:rsidRPr="00992E71">
        <w:rPr>
          <w:rFonts w:ascii="Open Sans" w:hAnsi="Open Sans" w:cs="Open Sans"/>
          <w:sz w:val="20"/>
          <w:szCs w:val="20"/>
        </w:rPr>
        <w:t xml:space="preserve">. Ljubljana objavlja v sistemu elektronskega obveščanja Ljubljanske borze </w:t>
      </w:r>
      <w:proofErr w:type="spellStart"/>
      <w:r w:rsidR="009205E6" w:rsidRPr="00992E71">
        <w:rPr>
          <w:rFonts w:ascii="Open Sans" w:hAnsi="Open Sans" w:cs="Open Sans"/>
          <w:sz w:val="20"/>
          <w:szCs w:val="20"/>
        </w:rPr>
        <w:t>SEOnet</w:t>
      </w:r>
      <w:proofErr w:type="spellEnd"/>
      <w:r w:rsidR="009205E6" w:rsidRPr="00992E71">
        <w:rPr>
          <w:rFonts w:ascii="Open Sans" w:hAnsi="Open Sans" w:cs="Open Sans"/>
          <w:sz w:val="20"/>
          <w:szCs w:val="20"/>
        </w:rPr>
        <w:t>.</w:t>
      </w:r>
    </w:p>
    <w:p w14:paraId="4C524D35" w14:textId="77777777" w:rsidR="003926ED" w:rsidRPr="00992E71" w:rsidRDefault="003926ED" w:rsidP="009205E6">
      <w:pPr>
        <w:jc w:val="both"/>
        <w:rPr>
          <w:rFonts w:ascii="Open Sans" w:hAnsi="Open Sans" w:cs="Open Sans"/>
          <w:sz w:val="20"/>
          <w:szCs w:val="20"/>
        </w:rPr>
      </w:pPr>
    </w:p>
    <w:p w14:paraId="0C68CE5D" w14:textId="77777777" w:rsidR="00D26A22" w:rsidRPr="00992E71" w:rsidRDefault="001E53A7" w:rsidP="00A865B3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 xml:space="preserve">Osnovni podatki o družbi NAMA </w:t>
      </w:r>
      <w:proofErr w:type="spellStart"/>
      <w:r w:rsidRPr="00992E71">
        <w:rPr>
          <w:rFonts w:ascii="Open Sans" w:hAnsi="Open Sans" w:cs="Open Sans"/>
          <w:b/>
          <w:sz w:val="20"/>
          <w:szCs w:val="20"/>
        </w:rPr>
        <w:t>d.d</w:t>
      </w:r>
      <w:proofErr w:type="spellEnd"/>
      <w:r w:rsidRPr="00992E71">
        <w:rPr>
          <w:rFonts w:ascii="Open Sans" w:hAnsi="Open Sans" w:cs="Open Sans"/>
          <w:b/>
          <w:sz w:val="20"/>
          <w:szCs w:val="20"/>
        </w:rPr>
        <w:t>. Ljubljana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6"/>
        <w:gridCol w:w="4442"/>
      </w:tblGrid>
      <w:tr w:rsidR="00BB5D32" w:rsidRPr="00992E71" w14:paraId="43D54FD8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BC16CAD" w14:textId="77777777" w:rsidR="00BB5D32" w:rsidRPr="00992E71" w:rsidRDefault="001905B1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Naziv podjetja</w:t>
            </w:r>
            <w:r w:rsidR="00BB5D32" w:rsidRPr="00992E71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72E6BD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710ABBD8" w14:textId="77777777" w:rsidR="00BB5D32" w:rsidRPr="00992E71" w:rsidRDefault="006A0C4C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NAMA Trgovsko podjetje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d.d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>. Ljubljana</w:t>
            </w:r>
          </w:p>
        </w:tc>
      </w:tr>
      <w:tr w:rsidR="001905B1" w:rsidRPr="00992E71" w14:paraId="3F7151D2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964ED67" w14:textId="77777777" w:rsidR="001905B1" w:rsidRPr="00992E71" w:rsidRDefault="001905B1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Skrajšan naziv podjetja: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F483C0" w14:textId="77777777" w:rsidR="001905B1" w:rsidRPr="00992E71" w:rsidRDefault="001905B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426F35D7" w14:textId="77777777" w:rsidR="001905B1" w:rsidRPr="00992E71" w:rsidRDefault="001905B1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NAMA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d.d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>. Ljubljana</w:t>
            </w:r>
          </w:p>
        </w:tc>
      </w:tr>
      <w:tr w:rsidR="00BB5D32" w:rsidRPr="00992E71" w14:paraId="2811858D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95CC186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Sedež: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792285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202E3770" w14:textId="77777777" w:rsidR="00BB5D32" w:rsidRPr="00992E71" w:rsidRDefault="006A0C4C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Tomšičeva </w:t>
            </w:r>
            <w:r w:rsidR="008634BC" w:rsidRPr="00992E71">
              <w:rPr>
                <w:rFonts w:ascii="Open Sans" w:hAnsi="Open Sans" w:cs="Open Sans"/>
                <w:sz w:val="20"/>
                <w:szCs w:val="20"/>
              </w:rPr>
              <w:t xml:space="preserve">ulica </w:t>
            </w:r>
            <w:r w:rsidRPr="00992E71">
              <w:rPr>
                <w:rFonts w:ascii="Open Sans" w:hAnsi="Open Sans" w:cs="Open Sans"/>
                <w:sz w:val="20"/>
                <w:szCs w:val="20"/>
              </w:rPr>
              <w:t>1, Ljubljana</w:t>
            </w:r>
          </w:p>
        </w:tc>
      </w:tr>
      <w:tr w:rsidR="00D97D1B" w:rsidRPr="00992E71" w14:paraId="406A04D6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33D3F19" w14:textId="77777777" w:rsidR="00D97D1B" w:rsidRPr="00992E71" w:rsidRDefault="00D97D1B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Spletna stran: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AA89DC" w14:textId="77777777" w:rsidR="00D97D1B" w:rsidRPr="00992E71" w:rsidRDefault="00D97D1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6C778659" w14:textId="77777777" w:rsidR="00D97D1B" w:rsidRPr="00992E71" w:rsidRDefault="00561357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hyperlink r:id="rId9" w:history="1">
              <w:r w:rsidR="00B04F5F" w:rsidRPr="00992E71">
                <w:rPr>
                  <w:rStyle w:val="Hiperpovezava"/>
                  <w:rFonts w:ascii="Open Sans" w:hAnsi="Open Sans" w:cs="Open Sans"/>
                  <w:sz w:val="20"/>
                  <w:szCs w:val="20"/>
                </w:rPr>
                <w:t>www.nama.si</w:t>
              </w:r>
            </w:hyperlink>
          </w:p>
        </w:tc>
      </w:tr>
      <w:tr w:rsidR="00B04F5F" w:rsidRPr="00992E71" w14:paraId="2A24CF4D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E484D00" w14:textId="77777777" w:rsidR="00B04F5F" w:rsidRPr="00992E71" w:rsidRDefault="00B04F5F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E-mail: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BEC8DF" w14:textId="77777777" w:rsidR="00B04F5F" w:rsidRPr="00992E71" w:rsidRDefault="00B04F5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102D04FB" w14:textId="77777777" w:rsidR="00B04F5F" w:rsidRPr="00992E71" w:rsidRDefault="00561357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hyperlink r:id="rId10" w:history="1">
              <w:r w:rsidR="00B04F5F" w:rsidRPr="00992E71">
                <w:rPr>
                  <w:rStyle w:val="Hiperpovezava"/>
                  <w:rFonts w:ascii="Open Sans" w:hAnsi="Open Sans" w:cs="Open Sans"/>
                  <w:sz w:val="20"/>
                  <w:szCs w:val="20"/>
                </w:rPr>
                <w:t>info@nama.si</w:t>
              </w:r>
            </w:hyperlink>
          </w:p>
        </w:tc>
      </w:tr>
      <w:tr w:rsidR="00BB5D32" w:rsidRPr="00992E71" w14:paraId="42505211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13186B3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Matična številka: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09770A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3A2897B2" w14:textId="77777777" w:rsidR="00BB5D32" w:rsidRPr="00992E71" w:rsidRDefault="001905B1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5024811</w:t>
            </w:r>
          </w:p>
        </w:tc>
      </w:tr>
      <w:tr w:rsidR="00BB5D32" w:rsidRPr="00992E71" w14:paraId="4E618200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E693E2E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Davčna številka: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8322AF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2FD6615A" w14:textId="77777777" w:rsidR="00BB5D32" w:rsidRPr="00992E71" w:rsidRDefault="00AF7C16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SI22348174</w:t>
            </w:r>
          </w:p>
        </w:tc>
      </w:tr>
      <w:tr w:rsidR="00BB5D32" w:rsidRPr="00992E71" w14:paraId="5EF50433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C51EB5" w14:textId="77777777" w:rsidR="00BB5D32" w:rsidRPr="00992E71" w:rsidRDefault="00AF7C16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Sodni register: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37BE06" w14:textId="77777777" w:rsidR="00BB5D32" w:rsidRPr="00992E71" w:rsidRDefault="00BB5D3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1B81D5D5" w14:textId="77777777" w:rsidR="00BB5D32" w:rsidRPr="00992E71" w:rsidRDefault="00AF7C16" w:rsidP="006A0C4C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Okrožno sodišče v Ljubljani, št. reg.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vl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>. 1/00837/00</w:t>
            </w:r>
          </w:p>
        </w:tc>
      </w:tr>
      <w:tr w:rsidR="00206B47" w:rsidRPr="00992E71" w14:paraId="0960192A" w14:textId="77777777" w:rsidTr="00A071B4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8AEFEBA" w14:textId="77777777" w:rsidR="00206B47" w:rsidRPr="00992E71" w:rsidRDefault="00EB1CDC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Transakcijski računi: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6F1C7B" w14:textId="77777777" w:rsidR="00206B47" w:rsidRPr="00992E71" w:rsidRDefault="00206B4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14:paraId="7DA47EB6" w14:textId="77777777" w:rsidR="00BF1F2D" w:rsidRPr="00992E71" w:rsidRDefault="00BF1F2D" w:rsidP="00BF1F2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NLB: SI56 0292 3001 4068 729</w:t>
            </w:r>
          </w:p>
          <w:p w14:paraId="2A9DF8D7" w14:textId="77777777" w:rsidR="00EB1CDC" w:rsidRPr="00992E71" w:rsidRDefault="00BF1F2D" w:rsidP="00BF1F2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SKB: SI56 0310 0100 0011 415</w:t>
            </w:r>
          </w:p>
        </w:tc>
      </w:tr>
    </w:tbl>
    <w:p w14:paraId="46B2178E" w14:textId="77777777" w:rsidR="008E6BE9" w:rsidRPr="00992E71" w:rsidRDefault="008E6BE9">
      <w:pPr>
        <w:rPr>
          <w:rFonts w:ascii="Open Sans" w:hAnsi="Open Sans" w:cs="Open Sans"/>
          <w:sz w:val="20"/>
          <w:szCs w:val="20"/>
        </w:rPr>
      </w:pPr>
    </w:p>
    <w:p w14:paraId="393E7E60" w14:textId="11FCACEF" w:rsidR="00BB5D32" w:rsidRPr="00992E71" w:rsidRDefault="00A83EFD" w:rsidP="00AD1EF1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Dejavnosti družbe, vpisane v sodni register</w:t>
      </w:r>
      <w:r w:rsidR="00A67606">
        <w:rPr>
          <w:rFonts w:ascii="Open Sans" w:hAnsi="Open Sans" w:cs="Open Sans"/>
          <w:sz w:val="20"/>
          <w:szCs w:val="20"/>
        </w:rPr>
        <w:t>,</w:t>
      </w:r>
      <w:r w:rsidRPr="00992E71">
        <w:rPr>
          <w:rFonts w:ascii="Open Sans" w:hAnsi="Open Sans" w:cs="Open Sans"/>
          <w:sz w:val="20"/>
          <w:szCs w:val="20"/>
        </w:rPr>
        <w:t xml:space="preserve"> so: trgovina na drobno in debelo različnih trgovinskih strok, posredništvo pri prodaji različnih vrst izdelkov,</w:t>
      </w:r>
      <w:r w:rsidR="007D5CDC">
        <w:rPr>
          <w:rFonts w:ascii="Open Sans" w:hAnsi="Open Sans" w:cs="Open Sans"/>
          <w:sz w:val="20"/>
          <w:szCs w:val="20"/>
        </w:rPr>
        <w:t xml:space="preserve"> oddajanje in obratovanje lastnih ali najetih nepremičnin, trgovanje z lastnimi nepremičninami in druge</w:t>
      </w:r>
      <w:r w:rsidRPr="00992E71">
        <w:rPr>
          <w:rFonts w:ascii="Open Sans" w:hAnsi="Open Sans" w:cs="Open Sans"/>
          <w:sz w:val="20"/>
          <w:szCs w:val="20"/>
        </w:rPr>
        <w:t xml:space="preserve"> storitvene dejavnosti.</w:t>
      </w:r>
    </w:p>
    <w:p w14:paraId="2D82EFE9" w14:textId="77777777" w:rsidR="001B2EC4" w:rsidRPr="00992E71" w:rsidRDefault="00F9725F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V skladu s 55. členom ZGD-1 se družba razvršča med velike družbe.  </w:t>
      </w:r>
    </w:p>
    <w:p w14:paraId="133A789E" w14:textId="77777777" w:rsidR="00EE2920" w:rsidRPr="00992E71" w:rsidRDefault="00EE2920">
      <w:pPr>
        <w:rPr>
          <w:rFonts w:ascii="Open Sans" w:hAnsi="Open Sans" w:cs="Open Sans"/>
          <w:sz w:val="20"/>
          <w:szCs w:val="20"/>
        </w:rPr>
      </w:pPr>
    </w:p>
    <w:p w14:paraId="4531F700" w14:textId="77777777" w:rsidR="0030460E" w:rsidRPr="00992E71" w:rsidRDefault="001537FA" w:rsidP="00C05080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Organi vodenja in nadzora</w:t>
      </w:r>
    </w:p>
    <w:p w14:paraId="28DD9E48" w14:textId="77777777" w:rsidR="00C979E3" w:rsidRPr="00992E71" w:rsidRDefault="00C979E3" w:rsidP="00C979E3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Organi </w:t>
      </w:r>
      <w:r w:rsidR="00932753" w:rsidRPr="00992E71">
        <w:rPr>
          <w:rFonts w:ascii="Open Sans" w:hAnsi="Open Sans" w:cs="Open Sans"/>
          <w:sz w:val="20"/>
          <w:szCs w:val="20"/>
        </w:rPr>
        <w:t>vodenja in nadzora</w:t>
      </w:r>
      <w:r w:rsidRPr="00992E71">
        <w:rPr>
          <w:rFonts w:ascii="Open Sans" w:hAnsi="Open Sans" w:cs="Open Sans"/>
          <w:sz w:val="20"/>
          <w:szCs w:val="20"/>
        </w:rPr>
        <w:t xml:space="preserve"> družbe so </w:t>
      </w:r>
      <w:r w:rsidR="001E0C42" w:rsidRPr="00992E71">
        <w:rPr>
          <w:rFonts w:ascii="Open Sans" w:hAnsi="Open Sans" w:cs="Open Sans"/>
          <w:sz w:val="20"/>
          <w:szCs w:val="20"/>
        </w:rPr>
        <w:t>uprava, nadzorni svet in skupščina družbe.</w:t>
      </w:r>
    </w:p>
    <w:p w14:paraId="590DFD7B" w14:textId="77777777" w:rsidR="007679AC" w:rsidRPr="00992E71" w:rsidRDefault="007679AC" w:rsidP="00C979E3">
      <w:pPr>
        <w:rPr>
          <w:rFonts w:ascii="Open Sans" w:hAnsi="Open Sans" w:cs="Open Sans"/>
          <w:sz w:val="20"/>
          <w:szCs w:val="20"/>
        </w:rPr>
      </w:pPr>
    </w:p>
    <w:p w14:paraId="08C242E9" w14:textId="77777777" w:rsidR="00FF7976" w:rsidRPr="00992E71" w:rsidRDefault="00FF7976" w:rsidP="00FF7976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vanish/>
          <w:sz w:val="20"/>
          <w:szCs w:val="20"/>
        </w:rPr>
      </w:pPr>
    </w:p>
    <w:p w14:paraId="1F8D955A" w14:textId="77777777" w:rsidR="00FF7976" w:rsidRPr="00992E71" w:rsidRDefault="00FF7976" w:rsidP="00FF7976">
      <w:pPr>
        <w:pStyle w:val="Odstavekseznama"/>
        <w:numPr>
          <w:ilvl w:val="0"/>
          <w:numId w:val="6"/>
        </w:numPr>
        <w:rPr>
          <w:rFonts w:ascii="Open Sans" w:hAnsi="Open Sans" w:cs="Open Sans"/>
          <w:b/>
          <w:vanish/>
          <w:sz w:val="20"/>
          <w:szCs w:val="20"/>
        </w:rPr>
      </w:pPr>
    </w:p>
    <w:p w14:paraId="15A753B9" w14:textId="77777777" w:rsidR="00D14DE8" w:rsidRPr="00992E71" w:rsidRDefault="00D14DE8" w:rsidP="00C05080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Uprava družbe</w:t>
      </w:r>
    </w:p>
    <w:p w14:paraId="4F439242" w14:textId="77777777" w:rsidR="008D4537" w:rsidRPr="00992E71" w:rsidRDefault="008D4537" w:rsidP="00532EC8">
      <w:pPr>
        <w:pStyle w:val="Telobesedila2"/>
        <w:rPr>
          <w:rFonts w:ascii="Open Sans" w:eastAsiaTheme="minorHAnsi" w:hAnsi="Open Sans" w:cs="Open Sans"/>
          <w:lang w:val="sl-SI"/>
        </w:rPr>
      </w:pPr>
      <w:r w:rsidRPr="00992E71">
        <w:rPr>
          <w:rFonts w:ascii="Open Sans" w:eastAsiaTheme="minorHAnsi" w:hAnsi="Open Sans" w:cs="Open Sans"/>
          <w:lang w:val="sl-SI"/>
        </w:rPr>
        <w:t>Posle družbe vodi uprava, ki je v skladu s statutom družbe lahko dvočlanska. Uprava vodi družbo samostojno.</w:t>
      </w:r>
    </w:p>
    <w:p w14:paraId="6E4ED4B3" w14:textId="77777777" w:rsidR="008D4537" w:rsidRPr="00992E71" w:rsidRDefault="008D4537" w:rsidP="00532EC8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636401CE" w14:textId="40ECE8C3" w:rsidR="00F9583C" w:rsidRPr="00992E71" w:rsidRDefault="00745EAF" w:rsidP="00D642A4">
      <w:pPr>
        <w:pStyle w:val="Telobesedila2"/>
        <w:rPr>
          <w:rFonts w:ascii="Open Sans" w:eastAsiaTheme="minorHAnsi" w:hAnsi="Open Sans" w:cs="Open Sans"/>
          <w:lang w:val="sl-SI"/>
        </w:rPr>
      </w:pPr>
      <w:r>
        <w:rPr>
          <w:rFonts w:ascii="Open Sans" w:hAnsi="Open Sans" w:cs="Open Sans"/>
        </w:rPr>
        <w:t>Na dan 30.6</w:t>
      </w:r>
      <w:r w:rsidR="006429CF">
        <w:rPr>
          <w:rFonts w:ascii="Open Sans" w:hAnsi="Open Sans" w:cs="Open Sans"/>
        </w:rPr>
        <w:t>.2020</w:t>
      </w:r>
      <w:r w:rsidR="00CC60B6" w:rsidRPr="00992E71">
        <w:rPr>
          <w:rFonts w:ascii="Open Sans" w:hAnsi="Open Sans" w:cs="Open Sans"/>
        </w:rPr>
        <w:t xml:space="preserve"> je družbo zastopala in vodila</w:t>
      </w:r>
      <w:r w:rsidR="00DD54EE" w:rsidRPr="00992E71">
        <w:rPr>
          <w:rFonts w:ascii="Open Sans" w:hAnsi="Open Sans" w:cs="Open Sans"/>
        </w:rPr>
        <w:t xml:space="preserve"> dvočlanska uprava: </w:t>
      </w:r>
      <w:r w:rsidR="00C9690B" w:rsidRPr="00992E71">
        <w:rPr>
          <w:rFonts w:ascii="Open Sans" w:hAnsi="Open Sans" w:cs="Open Sans"/>
          <w:lang w:val="sl-SI"/>
        </w:rPr>
        <w:t>predsednica</w:t>
      </w:r>
      <w:r w:rsidR="00C9690B" w:rsidRPr="00992E71">
        <w:rPr>
          <w:rFonts w:ascii="Open Sans" w:hAnsi="Open Sans" w:cs="Open Sans"/>
        </w:rPr>
        <w:t xml:space="preserve"> </w:t>
      </w:r>
      <w:r w:rsidR="00C9690B" w:rsidRPr="00992E71">
        <w:rPr>
          <w:rFonts w:ascii="Open Sans" w:hAnsi="Open Sans" w:cs="Open Sans"/>
          <w:lang w:val="sl-SI"/>
        </w:rPr>
        <w:t xml:space="preserve">uprave </w:t>
      </w:r>
      <w:r w:rsidR="00C9690B" w:rsidRPr="00992E71">
        <w:rPr>
          <w:rFonts w:ascii="Open Sans" w:hAnsi="Open Sans" w:cs="Open Sans"/>
        </w:rPr>
        <w:t>Simona Kozjek</w:t>
      </w:r>
      <w:r w:rsidR="00B0263A" w:rsidRPr="00992E71">
        <w:rPr>
          <w:rFonts w:ascii="Open Sans" w:hAnsi="Open Sans" w:cs="Open Sans"/>
        </w:rPr>
        <w:t xml:space="preserve"> in </w:t>
      </w:r>
      <w:r w:rsidR="00C9690B" w:rsidRPr="00992E71">
        <w:rPr>
          <w:rFonts w:ascii="Open Sans" w:hAnsi="Open Sans" w:cs="Open Sans"/>
          <w:lang w:val="sl-SI"/>
        </w:rPr>
        <w:t xml:space="preserve">članica uprave </w:t>
      </w:r>
      <w:r w:rsidR="00C9690B" w:rsidRPr="00992E71">
        <w:rPr>
          <w:rFonts w:ascii="Open Sans" w:hAnsi="Open Sans" w:cs="Open Sans"/>
        </w:rPr>
        <w:t>Mateja Erman</w:t>
      </w:r>
      <w:r w:rsidR="00B0263A" w:rsidRPr="00992E71">
        <w:rPr>
          <w:rFonts w:ascii="Open Sans" w:hAnsi="Open Sans" w:cs="Open Sans"/>
        </w:rPr>
        <w:t>.</w:t>
      </w:r>
    </w:p>
    <w:p w14:paraId="0EA624F7" w14:textId="77777777" w:rsidR="005D7FF3" w:rsidRPr="00992E71" w:rsidRDefault="00071378" w:rsidP="00C979E3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 </w:t>
      </w:r>
      <w:r w:rsidR="00CC60B6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16E4C524" w14:textId="77777777" w:rsidR="001B2EC4" w:rsidRPr="00992E71" w:rsidRDefault="001B2EC4" w:rsidP="00FD7F2E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Nadzorni svet</w:t>
      </w:r>
    </w:p>
    <w:p w14:paraId="616BAC66" w14:textId="77777777" w:rsidR="00DD7B82" w:rsidRDefault="00DD7B82" w:rsidP="002945A7">
      <w:pPr>
        <w:pStyle w:val="Telobesedila2"/>
        <w:rPr>
          <w:rFonts w:ascii="Open Sans" w:eastAsiaTheme="minorHAnsi" w:hAnsi="Open Sans" w:cs="Open Sans"/>
          <w:lang w:val="sl-SI"/>
        </w:rPr>
      </w:pPr>
      <w:r w:rsidRPr="00992E71">
        <w:rPr>
          <w:rFonts w:ascii="Open Sans" w:eastAsiaTheme="minorHAnsi" w:hAnsi="Open Sans" w:cs="Open Sans"/>
          <w:lang w:val="sl-SI"/>
        </w:rPr>
        <w:t>Skladno s statutom ima družba šest članski nadzorni svet, ki ga sestavljajo štirje člani – predstavniki delničarjev in dva člana – predstavnika zaposlenih.</w:t>
      </w:r>
    </w:p>
    <w:p w14:paraId="3B6B458E" w14:textId="77777777" w:rsidR="0097053E" w:rsidRDefault="0097053E" w:rsidP="002945A7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1B7A6EB3" w14:textId="77777777" w:rsidR="00B50CE1" w:rsidRDefault="002E68D3" w:rsidP="00B50CE1">
      <w:pPr>
        <w:pStyle w:val="Telobesedila2"/>
        <w:rPr>
          <w:rFonts w:ascii="Open Sans" w:eastAsiaTheme="minorHAnsi" w:hAnsi="Open Sans" w:cs="Open Sans"/>
          <w:lang w:val="sl-SI"/>
        </w:rPr>
      </w:pPr>
      <w:r>
        <w:rPr>
          <w:rFonts w:ascii="Open Sans" w:eastAsiaTheme="minorHAnsi" w:hAnsi="Open Sans" w:cs="Open Sans"/>
          <w:lang w:val="sl-SI"/>
        </w:rPr>
        <w:t>Delničarji</w:t>
      </w:r>
      <w:r w:rsidR="0097053E">
        <w:rPr>
          <w:rFonts w:ascii="Open Sans" w:eastAsiaTheme="minorHAnsi" w:hAnsi="Open Sans" w:cs="Open Sans"/>
          <w:lang w:val="sl-SI"/>
        </w:rPr>
        <w:t xml:space="preserve"> družbe Nama </w:t>
      </w:r>
      <w:proofErr w:type="spellStart"/>
      <w:r>
        <w:rPr>
          <w:rFonts w:ascii="Open Sans" w:eastAsiaTheme="minorHAnsi" w:hAnsi="Open Sans" w:cs="Open Sans"/>
          <w:lang w:val="sl-SI"/>
        </w:rPr>
        <w:t>d.d</w:t>
      </w:r>
      <w:proofErr w:type="spellEnd"/>
      <w:r>
        <w:rPr>
          <w:rFonts w:ascii="Open Sans" w:eastAsiaTheme="minorHAnsi" w:hAnsi="Open Sans" w:cs="Open Sans"/>
          <w:lang w:val="sl-SI"/>
        </w:rPr>
        <w:t xml:space="preserve">. so </w:t>
      </w:r>
      <w:r w:rsidR="00084B3A">
        <w:rPr>
          <w:rFonts w:ascii="Open Sans" w:eastAsiaTheme="minorHAnsi" w:hAnsi="Open Sans" w:cs="Open Sans"/>
          <w:lang w:val="sl-SI"/>
        </w:rPr>
        <w:t xml:space="preserve">se </w:t>
      </w:r>
      <w:r>
        <w:rPr>
          <w:rFonts w:ascii="Open Sans" w:eastAsiaTheme="minorHAnsi" w:hAnsi="Open Sans" w:cs="Open Sans"/>
          <w:lang w:val="sl-SI"/>
        </w:rPr>
        <w:t>na 29. redni skupščini</w:t>
      </w:r>
      <w:r w:rsidR="00084B3A">
        <w:rPr>
          <w:rFonts w:ascii="Open Sans" w:eastAsiaTheme="minorHAnsi" w:hAnsi="Open Sans" w:cs="Open Sans"/>
          <w:lang w:val="sl-SI"/>
        </w:rPr>
        <w:t xml:space="preserve"> družbe dne 19.6.2020 seznanili z odstopno izjavo članice nadzornega sveta Mete Berk Skok. Za novo mandatno obdobje štirih let je skupščina družbe imenovala Mateja </w:t>
      </w:r>
      <w:proofErr w:type="spellStart"/>
      <w:r w:rsidR="00084B3A">
        <w:rPr>
          <w:rFonts w:ascii="Open Sans" w:eastAsiaTheme="minorHAnsi" w:hAnsi="Open Sans" w:cs="Open Sans"/>
          <w:lang w:val="sl-SI"/>
        </w:rPr>
        <w:t>Runjaka</w:t>
      </w:r>
      <w:proofErr w:type="spellEnd"/>
      <w:r w:rsidR="00084B3A">
        <w:rPr>
          <w:rFonts w:ascii="Open Sans" w:eastAsiaTheme="minorHAnsi" w:hAnsi="Open Sans" w:cs="Open Sans"/>
          <w:lang w:val="sl-SI"/>
        </w:rPr>
        <w:t xml:space="preserve">, ki je svoj mandat nastopil </w:t>
      </w:r>
      <w:r w:rsidR="00B50CE1">
        <w:rPr>
          <w:rFonts w:ascii="Open Sans" w:eastAsiaTheme="minorHAnsi" w:hAnsi="Open Sans" w:cs="Open Sans"/>
          <w:lang w:val="sl-SI"/>
        </w:rPr>
        <w:t xml:space="preserve">dne </w:t>
      </w:r>
      <w:r w:rsidR="00084B3A">
        <w:rPr>
          <w:rFonts w:ascii="Open Sans" w:eastAsiaTheme="minorHAnsi" w:hAnsi="Open Sans" w:cs="Open Sans"/>
          <w:lang w:val="sl-SI"/>
        </w:rPr>
        <w:t>19.6.2020.</w:t>
      </w:r>
      <w:r w:rsidR="00B50CE1">
        <w:rPr>
          <w:rFonts w:ascii="Open Sans" w:eastAsiaTheme="minorHAnsi" w:hAnsi="Open Sans" w:cs="Open Sans"/>
          <w:lang w:val="sl-SI"/>
        </w:rPr>
        <w:t xml:space="preserve"> Zaradi poteka mandata je skupščina za novo mandatno obdobje imenovala tudi Miho Grilca, ki je nov mandat nastopil dne 18.8.2020.</w:t>
      </w:r>
    </w:p>
    <w:p w14:paraId="531CF76A" w14:textId="1BD1C629" w:rsidR="00084B3A" w:rsidRDefault="00B50CE1" w:rsidP="002945A7">
      <w:pPr>
        <w:pStyle w:val="Telobesedila2"/>
        <w:rPr>
          <w:rFonts w:ascii="Open Sans" w:eastAsiaTheme="minorHAnsi" w:hAnsi="Open Sans" w:cs="Open Sans"/>
          <w:lang w:val="sl-SI"/>
        </w:rPr>
      </w:pPr>
      <w:r>
        <w:rPr>
          <w:rFonts w:ascii="Open Sans" w:eastAsiaTheme="minorHAnsi" w:hAnsi="Open Sans" w:cs="Open Sans"/>
          <w:lang w:val="sl-SI"/>
        </w:rPr>
        <w:t xml:space="preserve"> </w:t>
      </w:r>
    </w:p>
    <w:p w14:paraId="244F313B" w14:textId="2E2100C6" w:rsidR="00084B3A" w:rsidRPr="00992E71" w:rsidRDefault="004A5D39" w:rsidP="002945A7">
      <w:pPr>
        <w:pStyle w:val="Telobesedila2"/>
        <w:rPr>
          <w:rFonts w:ascii="Open Sans" w:eastAsiaTheme="minorHAnsi" w:hAnsi="Open Sans" w:cs="Open Sans"/>
          <w:lang w:val="sl-SI"/>
        </w:rPr>
      </w:pPr>
      <w:r>
        <w:rPr>
          <w:rFonts w:ascii="Open Sans" w:eastAsiaTheme="minorHAnsi" w:hAnsi="Open Sans" w:cs="Open Sans"/>
          <w:lang w:val="sl-SI"/>
        </w:rPr>
        <w:t xml:space="preserve">Delničarji družbe Nama </w:t>
      </w:r>
      <w:proofErr w:type="spellStart"/>
      <w:r>
        <w:rPr>
          <w:rFonts w:ascii="Open Sans" w:eastAsiaTheme="minorHAnsi" w:hAnsi="Open Sans" w:cs="Open Sans"/>
          <w:lang w:val="sl-SI"/>
        </w:rPr>
        <w:t>d.d</w:t>
      </w:r>
      <w:proofErr w:type="spellEnd"/>
      <w:r>
        <w:rPr>
          <w:rFonts w:ascii="Open Sans" w:eastAsiaTheme="minorHAnsi" w:hAnsi="Open Sans" w:cs="Open Sans"/>
          <w:lang w:val="sl-SI"/>
        </w:rPr>
        <w:t>. so se na 29. redni skupščini</w:t>
      </w:r>
      <w:r w:rsidR="00135586">
        <w:rPr>
          <w:rFonts w:ascii="Open Sans" w:eastAsiaTheme="minorHAnsi" w:hAnsi="Open Sans" w:cs="Open Sans"/>
          <w:lang w:val="sl-SI"/>
        </w:rPr>
        <w:t xml:space="preserve"> družbe dne 19.6.2020 seznanili</w:t>
      </w:r>
      <w:r w:rsidR="00B50CE1">
        <w:rPr>
          <w:rFonts w:ascii="Open Sans" w:eastAsiaTheme="minorHAnsi" w:hAnsi="Open Sans" w:cs="Open Sans"/>
          <w:lang w:val="sl-SI"/>
        </w:rPr>
        <w:t xml:space="preserve"> </w:t>
      </w:r>
      <w:r>
        <w:rPr>
          <w:rFonts w:ascii="Open Sans" w:eastAsiaTheme="minorHAnsi" w:hAnsi="Open Sans" w:cs="Open Sans"/>
          <w:lang w:val="sl-SI"/>
        </w:rPr>
        <w:t>z imenovanjem Andreje Kokalj</w:t>
      </w:r>
      <w:r w:rsidR="00D958AB">
        <w:rPr>
          <w:rFonts w:ascii="Open Sans" w:eastAsiaTheme="minorHAnsi" w:hAnsi="Open Sans" w:cs="Open Sans"/>
          <w:lang w:val="sl-SI"/>
        </w:rPr>
        <w:t xml:space="preserve"> in Milene Strle</w:t>
      </w:r>
      <w:r>
        <w:rPr>
          <w:rFonts w:ascii="Open Sans" w:eastAsiaTheme="minorHAnsi" w:hAnsi="Open Sans" w:cs="Open Sans"/>
          <w:lang w:val="sl-SI"/>
        </w:rPr>
        <w:t xml:space="preserve">, </w:t>
      </w:r>
      <w:r w:rsidR="00D958AB">
        <w:rPr>
          <w:rFonts w:ascii="Open Sans" w:eastAsiaTheme="minorHAnsi" w:hAnsi="Open Sans" w:cs="Open Sans"/>
          <w:lang w:val="sl-SI"/>
        </w:rPr>
        <w:t>ki sta bili na sejah Sveta delavcev izvoljeni v nadzorni svet kot predstavnici delavcev.</w:t>
      </w:r>
    </w:p>
    <w:p w14:paraId="7AC1B957" w14:textId="77777777" w:rsidR="00DD7B82" w:rsidRPr="00992E71" w:rsidRDefault="00DD7B82" w:rsidP="002945A7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3F14B598" w14:textId="0E21B0D9" w:rsidR="0022662F" w:rsidRPr="00992E71" w:rsidRDefault="00E313F4" w:rsidP="0022662F">
      <w:pPr>
        <w:pStyle w:val="Telobesedila2"/>
        <w:rPr>
          <w:rFonts w:ascii="Open Sans" w:eastAsiaTheme="minorHAnsi" w:hAnsi="Open Sans" w:cs="Open Sans"/>
          <w:lang w:val="sl-SI"/>
        </w:rPr>
      </w:pPr>
      <w:r>
        <w:rPr>
          <w:rFonts w:ascii="Open Sans" w:eastAsiaTheme="minorHAnsi" w:hAnsi="Open Sans" w:cs="Open Sans"/>
          <w:lang w:val="sl-SI"/>
        </w:rPr>
        <w:t>Na dan 30.6</w:t>
      </w:r>
      <w:r w:rsidR="006429CF">
        <w:rPr>
          <w:rFonts w:ascii="Open Sans" w:eastAsiaTheme="minorHAnsi" w:hAnsi="Open Sans" w:cs="Open Sans"/>
          <w:lang w:val="sl-SI"/>
        </w:rPr>
        <w:t>.2020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 je nadzorni svet deloval v sestavi:</w:t>
      </w:r>
      <w:r w:rsidR="00280148" w:rsidRPr="00992E71">
        <w:rPr>
          <w:rFonts w:ascii="Open Sans" w:eastAsiaTheme="minorHAnsi" w:hAnsi="Open Sans" w:cs="Open Sans"/>
          <w:lang w:val="sl-SI"/>
        </w:rPr>
        <w:t xml:space="preserve"> predsednik Mih</w:t>
      </w:r>
      <w:r w:rsidR="00CF1839">
        <w:rPr>
          <w:rFonts w:ascii="Open Sans" w:eastAsiaTheme="minorHAnsi" w:hAnsi="Open Sans" w:cs="Open Sans"/>
          <w:lang w:val="sl-SI"/>
        </w:rPr>
        <w:t xml:space="preserve">a </w:t>
      </w:r>
      <w:proofErr w:type="spellStart"/>
      <w:r w:rsidR="00CF1839">
        <w:rPr>
          <w:rFonts w:ascii="Open Sans" w:eastAsiaTheme="minorHAnsi" w:hAnsi="Open Sans" w:cs="Open Sans"/>
          <w:lang w:val="sl-SI"/>
        </w:rPr>
        <w:t>Grilec</w:t>
      </w:r>
      <w:proofErr w:type="spellEnd"/>
      <w:r w:rsidR="00CF1839">
        <w:rPr>
          <w:rFonts w:ascii="Open Sans" w:eastAsiaTheme="minorHAnsi" w:hAnsi="Open Sans" w:cs="Open Sans"/>
          <w:lang w:val="sl-SI"/>
        </w:rPr>
        <w:t>, člani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 </w:t>
      </w:r>
      <w:r w:rsidR="00CF1839">
        <w:rPr>
          <w:rFonts w:ascii="Open Sans" w:eastAsiaTheme="minorHAnsi" w:hAnsi="Open Sans" w:cs="Open Sans"/>
          <w:lang w:val="sl-SI"/>
        </w:rPr>
        <w:t xml:space="preserve">Matej </w:t>
      </w:r>
      <w:proofErr w:type="spellStart"/>
      <w:r w:rsidR="00CF1839">
        <w:rPr>
          <w:rFonts w:ascii="Open Sans" w:eastAsiaTheme="minorHAnsi" w:hAnsi="Open Sans" w:cs="Open Sans"/>
          <w:lang w:val="sl-SI"/>
        </w:rPr>
        <w:t>Runjak</w:t>
      </w:r>
      <w:proofErr w:type="spellEnd"/>
      <w:r w:rsidR="00CF1839">
        <w:rPr>
          <w:rFonts w:ascii="Open Sans" w:eastAsiaTheme="minorHAnsi" w:hAnsi="Open Sans" w:cs="Open Sans"/>
          <w:lang w:val="sl-SI"/>
        </w:rPr>
        <w:t xml:space="preserve">, </w:t>
      </w:r>
      <w:r w:rsidR="0022662F" w:rsidRPr="00992E71">
        <w:rPr>
          <w:rFonts w:ascii="Open Sans" w:eastAsiaTheme="minorHAnsi" w:hAnsi="Open Sans" w:cs="Open Sans"/>
          <w:lang w:val="sl-SI"/>
        </w:rPr>
        <w:t>Zoran Bošković</w:t>
      </w:r>
      <w:r w:rsidR="00280148" w:rsidRPr="00992E71">
        <w:rPr>
          <w:rFonts w:ascii="Open Sans" w:eastAsiaTheme="minorHAnsi" w:hAnsi="Open Sans" w:cs="Open Sans"/>
          <w:lang w:val="sl-SI"/>
        </w:rPr>
        <w:t xml:space="preserve"> in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 Uroš Cvetko ter </w:t>
      </w:r>
      <w:r w:rsidR="00280148" w:rsidRPr="00992E71">
        <w:rPr>
          <w:rFonts w:ascii="Open Sans" w:eastAsiaTheme="minorHAnsi" w:hAnsi="Open Sans" w:cs="Open Sans"/>
          <w:lang w:val="sl-SI"/>
        </w:rPr>
        <w:t xml:space="preserve">predstavnici zaposlenih </w:t>
      </w:r>
      <w:r w:rsidR="0022662F" w:rsidRPr="00992E71">
        <w:rPr>
          <w:rFonts w:ascii="Open Sans" w:eastAsiaTheme="minorHAnsi" w:hAnsi="Open Sans" w:cs="Open Sans"/>
          <w:lang w:val="sl-SI"/>
        </w:rPr>
        <w:t xml:space="preserve">Andreja Kokalj in </w:t>
      </w:r>
      <w:r w:rsidR="00CF1839">
        <w:rPr>
          <w:rFonts w:ascii="Open Sans" w:eastAsiaTheme="minorHAnsi" w:hAnsi="Open Sans" w:cs="Open Sans"/>
          <w:lang w:val="sl-SI"/>
        </w:rPr>
        <w:t>Milena Strle</w:t>
      </w:r>
      <w:r w:rsidR="005C45D9">
        <w:rPr>
          <w:rFonts w:ascii="Open Sans" w:eastAsiaTheme="minorHAnsi" w:hAnsi="Open Sans" w:cs="Open Sans"/>
          <w:lang w:val="sl-SI"/>
        </w:rPr>
        <w:t>.</w:t>
      </w:r>
      <w:r w:rsidR="001E3CDE">
        <w:rPr>
          <w:rFonts w:ascii="Open Sans" w:eastAsiaTheme="minorHAnsi" w:hAnsi="Open Sans" w:cs="Open Sans"/>
          <w:lang w:val="sl-SI"/>
        </w:rPr>
        <w:t xml:space="preserve"> </w:t>
      </w:r>
    </w:p>
    <w:p w14:paraId="18876DAD" w14:textId="77777777" w:rsidR="00FF7E60" w:rsidRPr="00992E71" w:rsidRDefault="00FF7E60" w:rsidP="0022662F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1E873714" w14:textId="4772C425" w:rsidR="00FF7E60" w:rsidRPr="00992E71" w:rsidRDefault="00FF7E60" w:rsidP="0022662F">
      <w:pPr>
        <w:pStyle w:val="Telobesedila2"/>
        <w:rPr>
          <w:rFonts w:ascii="Open Sans" w:eastAsiaTheme="minorHAnsi" w:hAnsi="Open Sans" w:cs="Open Sans"/>
          <w:lang w:val="sl-SI"/>
        </w:rPr>
      </w:pPr>
      <w:r w:rsidRPr="00992E71">
        <w:rPr>
          <w:rFonts w:ascii="Open Sans" w:eastAsiaTheme="minorHAnsi" w:hAnsi="Open Sans" w:cs="Open Sans"/>
          <w:lang w:val="sl-SI"/>
        </w:rPr>
        <w:t>Znotraj nadzornega sveta deluje</w:t>
      </w:r>
      <w:r w:rsidR="00992E71">
        <w:rPr>
          <w:rFonts w:ascii="Open Sans" w:eastAsiaTheme="minorHAnsi" w:hAnsi="Open Sans" w:cs="Open Sans"/>
          <w:lang w:val="sl-SI"/>
        </w:rPr>
        <w:t xml:space="preserve">ta kot stalni komisiji </w:t>
      </w:r>
      <w:r w:rsidRPr="00992E71">
        <w:rPr>
          <w:rFonts w:ascii="Open Sans" w:eastAsiaTheme="minorHAnsi" w:hAnsi="Open Sans" w:cs="Open Sans"/>
          <w:lang w:val="sl-SI"/>
        </w:rPr>
        <w:t xml:space="preserve">revizijska </w:t>
      </w:r>
      <w:r w:rsidR="00992E71">
        <w:rPr>
          <w:rFonts w:ascii="Open Sans" w:eastAsiaTheme="minorHAnsi" w:hAnsi="Open Sans" w:cs="Open Sans"/>
          <w:lang w:val="sl-SI"/>
        </w:rPr>
        <w:t>in</w:t>
      </w:r>
      <w:r w:rsidRPr="00992E71">
        <w:rPr>
          <w:rFonts w:ascii="Open Sans" w:eastAsiaTheme="minorHAnsi" w:hAnsi="Open Sans" w:cs="Open Sans"/>
          <w:lang w:val="sl-SI"/>
        </w:rPr>
        <w:t xml:space="preserve"> kadrovska komisija</w:t>
      </w:r>
      <w:r w:rsidR="00992E71">
        <w:rPr>
          <w:rFonts w:ascii="Open Sans" w:eastAsiaTheme="minorHAnsi" w:hAnsi="Open Sans" w:cs="Open Sans"/>
          <w:lang w:val="sl-SI"/>
        </w:rPr>
        <w:t>.</w:t>
      </w:r>
      <w:r w:rsidRPr="00992E71">
        <w:rPr>
          <w:rFonts w:ascii="Open Sans" w:eastAsiaTheme="minorHAnsi" w:hAnsi="Open Sans" w:cs="Open Sans"/>
          <w:lang w:val="sl-SI"/>
        </w:rPr>
        <w:t xml:space="preserve"> </w:t>
      </w:r>
    </w:p>
    <w:p w14:paraId="4458BAB4" w14:textId="77777777" w:rsidR="005D7FF3" w:rsidRPr="00992E71" w:rsidRDefault="005D7FF3" w:rsidP="002945A7">
      <w:pPr>
        <w:pStyle w:val="Telobesedila2"/>
        <w:rPr>
          <w:rFonts w:ascii="Open Sans" w:eastAsiaTheme="minorHAnsi" w:hAnsi="Open Sans" w:cs="Open Sans"/>
          <w:lang w:val="sl-SI"/>
        </w:rPr>
      </w:pPr>
    </w:p>
    <w:p w14:paraId="1AFF6D53" w14:textId="77777777" w:rsidR="00BB19A1" w:rsidRPr="00992E71" w:rsidRDefault="00BB19A1">
      <w:pPr>
        <w:rPr>
          <w:rFonts w:ascii="Open Sans" w:hAnsi="Open Sans" w:cs="Open Sans"/>
          <w:b/>
          <w:sz w:val="20"/>
          <w:szCs w:val="20"/>
          <w:highlight w:val="yellow"/>
        </w:rPr>
      </w:pPr>
      <w:r w:rsidRPr="00992E71">
        <w:rPr>
          <w:rFonts w:ascii="Open Sans" w:hAnsi="Open Sans" w:cs="Open Sans"/>
          <w:b/>
          <w:sz w:val="20"/>
          <w:szCs w:val="20"/>
          <w:highlight w:val="yellow"/>
        </w:rPr>
        <w:br w:type="page"/>
      </w:r>
    </w:p>
    <w:p w14:paraId="49D14364" w14:textId="77777777" w:rsidR="000A7E9B" w:rsidRPr="00992E71" w:rsidRDefault="00A52760" w:rsidP="00DE74EA">
      <w:pPr>
        <w:pStyle w:val="Odstavekseznama"/>
        <w:numPr>
          <w:ilvl w:val="0"/>
          <w:numId w:val="12"/>
        </w:numPr>
        <w:jc w:val="both"/>
        <w:rPr>
          <w:rFonts w:ascii="Open Sans" w:hAnsi="Open Sans" w:cs="Open Sans"/>
          <w:b/>
          <w:sz w:val="24"/>
          <w:szCs w:val="24"/>
        </w:rPr>
      </w:pPr>
      <w:r w:rsidRPr="00992E71">
        <w:rPr>
          <w:rFonts w:ascii="Open Sans" w:hAnsi="Open Sans" w:cs="Open Sans"/>
          <w:b/>
          <w:sz w:val="24"/>
          <w:szCs w:val="24"/>
        </w:rPr>
        <w:lastRenderedPageBreak/>
        <w:t>VMESNO POSLOVNO POROČILO</w:t>
      </w:r>
    </w:p>
    <w:p w14:paraId="7C1323A6" w14:textId="77777777" w:rsidR="00696275" w:rsidRPr="00992E71" w:rsidRDefault="00696275" w:rsidP="00696275">
      <w:pPr>
        <w:pStyle w:val="Odstavekseznama"/>
        <w:ind w:left="360"/>
        <w:jc w:val="both"/>
        <w:rPr>
          <w:rFonts w:ascii="Open Sans" w:hAnsi="Open Sans" w:cs="Open Sans"/>
          <w:b/>
          <w:sz w:val="24"/>
          <w:szCs w:val="24"/>
        </w:rPr>
      </w:pPr>
    </w:p>
    <w:p w14:paraId="054B8CB9" w14:textId="1508F95A" w:rsidR="00924219" w:rsidRPr="00992E71" w:rsidRDefault="009A1F2F" w:rsidP="009A1F2F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 xml:space="preserve">Poslovanje družbe NAMA </w:t>
      </w:r>
      <w:proofErr w:type="spellStart"/>
      <w:r w:rsidRPr="00992E71">
        <w:rPr>
          <w:rFonts w:ascii="Open Sans" w:hAnsi="Open Sans" w:cs="Open Sans"/>
          <w:b/>
          <w:sz w:val="20"/>
          <w:szCs w:val="20"/>
        </w:rPr>
        <w:t>d.d</w:t>
      </w:r>
      <w:proofErr w:type="spellEnd"/>
      <w:r w:rsidRPr="00992E71">
        <w:rPr>
          <w:rFonts w:ascii="Open Sans" w:hAnsi="Open Sans" w:cs="Open Sans"/>
          <w:b/>
          <w:sz w:val="20"/>
          <w:szCs w:val="20"/>
        </w:rPr>
        <w:t xml:space="preserve">. </w:t>
      </w:r>
      <w:r w:rsidR="006B424D">
        <w:rPr>
          <w:rFonts w:ascii="Open Sans" w:hAnsi="Open Sans" w:cs="Open Sans"/>
          <w:b/>
          <w:sz w:val="20"/>
          <w:szCs w:val="20"/>
        </w:rPr>
        <w:t>Ljubljana v obdobju 1.1. do 30.6</w:t>
      </w:r>
      <w:r w:rsidR="00C003DB">
        <w:rPr>
          <w:rFonts w:ascii="Open Sans" w:hAnsi="Open Sans" w:cs="Open Sans"/>
          <w:b/>
          <w:sz w:val="20"/>
          <w:szCs w:val="20"/>
        </w:rPr>
        <w:t>.2020</w:t>
      </w:r>
    </w:p>
    <w:p w14:paraId="596ECB8F" w14:textId="7D1ABA60" w:rsidR="00992F38" w:rsidRPr="00992E71" w:rsidRDefault="00B424AA" w:rsidP="00924219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Poslovanje družbe je v prvem polletju močno zaznamovala pandemija Covid-19. </w:t>
      </w:r>
      <w:r w:rsidR="00A67606" w:rsidRPr="00992E71">
        <w:rPr>
          <w:rFonts w:ascii="Open Sans" w:hAnsi="Open Sans" w:cs="Open Sans"/>
          <w:sz w:val="20"/>
          <w:szCs w:val="20"/>
        </w:rPr>
        <w:t xml:space="preserve">Družba je </w:t>
      </w:r>
      <w:r w:rsidR="00CB07E3">
        <w:rPr>
          <w:rFonts w:ascii="Open Sans" w:hAnsi="Open Sans" w:cs="Open Sans"/>
          <w:sz w:val="20"/>
          <w:szCs w:val="20"/>
        </w:rPr>
        <w:t xml:space="preserve">v </w:t>
      </w:r>
      <w:r w:rsidR="00A67606">
        <w:rPr>
          <w:rFonts w:ascii="Open Sans" w:hAnsi="Open Sans" w:cs="Open Sans"/>
          <w:sz w:val="20"/>
          <w:szCs w:val="20"/>
        </w:rPr>
        <w:t>obdobju</w:t>
      </w:r>
      <w:r w:rsidR="00CB07E3">
        <w:rPr>
          <w:rFonts w:ascii="Open Sans" w:hAnsi="Open Sans" w:cs="Open Sans"/>
          <w:sz w:val="20"/>
          <w:szCs w:val="20"/>
        </w:rPr>
        <w:t xml:space="preserve"> od 1.1</w:t>
      </w:r>
      <w:r w:rsidR="00A526EE">
        <w:rPr>
          <w:rFonts w:ascii="Open Sans" w:hAnsi="Open Sans" w:cs="Open Sans"/>
          <w:sz w:val="20"/>
          <w:szCs w:val="20"/>
        </w:rPr>
        <w:t>.</w:t>
      </w:r>
      <w:r w:rsidR="00857DE2">
        <w:rPr>
          <w:rFonts w:ascii="Open Sans" w:hAnsi="Open Sans" w:cs="Open Sans"/>
          <w:sz w:val="20"/>
          <w:szCs w:val="20"/>
        </w:rPr>
        <w:t xml:space="preserve"> do 30.6</w:t>
      </w:r>
      <w:r w:rsidR="0049093E">
        <w:rPr>
          <w:rFonts w:ascii="Open Sans" w:hAnsi="Open Sans" w:cs="Open Sans"/>
          <w:sz w:val="20"/>
          <w:szCs w:val="20"/>
        </w:rPr>
        <w:t>.2020</w:t>
      </w:r>
      <w:r w:rsidR="00A67606">
        <w:rPr>
          <w:rFonts w:ascii="Open Sans" w:hAnsi="Open Sans" w:cs="Open Sans"/>
          <w:sz w:val="20"/>
          <w:szCs w:val="20"/>
        </w:rPr>
        <w:t xml:space="preserve"> </w:t>
      </w:r>
      <w:r w:rsidR="00B31F2F">
        <w:rPr>
          <w:rFonts w:ascii="Open Sans" w:hAnsi="Open Sans" w:cs="Open Sans"/>
          <w:sz w:val="20"/>
          <w:szCs w:val="20"/>
        </w:rPr>
        <w:t xml:space="preserve">ustvarila za </w:t>
      </w:r>
      <w:r w:rsidR="00D37455">
        <w:rPr>
          <w:rFonts w:ascii="Open Sans" w:hAnsi="Open Sans" w:cs="Open Sans"/>
          <w:sz w:val="20"/>
          <w:szCs w:val="20"/>
        </w:rPr>
        <w:t>536.054</w:t>
      </w:r>
      <w:r w:rsidR="00B31F2F">
        <w:rPr>
          <w:rFonts w:ascii="Open Sans" w:hAnsi="Open Sans" w:cs="Open Sans"/>
          <w:sz w:val="20"/>
          <w:szCs w:val="20"/>
        </w:rPr>
        <w:t xml:space="preserve"> EUR dobička pred davki</w:t>
      </w:r>
      <w:r w:rsidR="00FF5C69">
        <w:rPr>
          <w:rFonts w:ascii="Open Sans" w:hAnsi="Open Sans" w:cs="Open Sans"/>
          <w:sz w:val="20"/>
          <w:szCs w:val="20"/>
        </w:rPr>
        <w:t xml:space="preserve"> (1.1. – 30.6</w:t>
      </w:r>
      <w:r w:rsidR="002E20AB">
        <w:rPr>
          <w:rFonts w:ascii="Open Sans" w:hAnsi="Open Sans" w:cs="Open Sans"/>
          <w:sz w:val="20"/>
          <w:szCs w:val="20"/>
        </w:rPr>
        <w:t>.2019</w:t>
      </w:r>
      <w:r w:rsidR="00085D34">
        <w:rPr>
          <w:rFonts w:ascii="Open Sans" w:hAnsi="Open Sans" w:cs="Open Sans"/>
          <w:sz w:val="20"/>
          <w:szCs w:val="20"/>
        </w:rPr>
        <w:t xml:space="preserve">: </w:t>
      </w:r>
      <w:r w:rsidR="0001621B">
        <w:rPr>
          <w:rFonts w:ascii="Open Sans" w:hAnsi="Open Sans" w:cs="Open Sans"/>
          <w:sz w:val="20"/>
          <w:szCs w:val="20"/>
        </w:rPr>
        <w:t>391.334</w:t>
      </w:r>
      <w:r w:rsidR="007D6DBB">
        <w:rPr>
          <w:rFonts w:ascii="Open Sans" w:hAnsi="Open Sans" w:cs="Open Sans"/>
          <w:sz w:val="20"/>
          <w:szCs w:val="20"/>
        </w:rPr>
        <w:t xml:space="preserve"> EUR)</w:t>
      </w:r>
      <w:r w:rsidR="00AF5B86">
        <w:rPr>
          <w:rFonts w:ascii="Open Sans" w:hAnsi="Open Sans" w:cs="Open Sans"/>
          <w:sz w:val="20"/>
          <w:szCs w:val="20"/>
        </w:rPr>
        <w:t xml:space="preserve">, pri čemer ta rezultat vključuje tudi </w:t>
      </w:r>
      <w:r w:rsidR="00635A35">
        <w:rPr>
          <w:rFonts w:ascii="Open Sans" w:hAnsi="Open Sans" w:cs="Open Sans"/>
          <w:sz w:val="20"/>
          <w:szCs w:val="20"/>
        </w:rPr>
        <w:t>dobiček</w:t>
      </w:r>
      <w:r w:rsidR="00AF5B86">
        <w:rPr>
          <w:rFonts w:ascii="Open Sans" w:hAnsi="Open Sans" w:cs="Open Sans"/>
          <w:sz w:val="20"/>
          <w:szCs w:val="20"/>
        </w:rPr>
        <w:t xml:space="preserve"> </w:t>
      </w:r>
      <w:r w:rsidR="00635A35">
        <w:rPr>
          <w:rFonts w:ascii="Open Sans" w:hAnsi="Open Sans" w:cs="Open Sans"/>
          <w:sz w:val="20"/>
          <w:szCs w:val="20"/>
        </w:rPr>
        <w:t>pri prodaji</w:t>
      </w:r>
      <w:r w:rsidR="00AF5B86">
        <w:rPr>
          <w:rFonts w:ascii="Open Sans" w:hAnsi="Open Sans" w:cs="Open Sans"/>
          <w:sz w:val="20"/>
          <w:szCs w:val="20"/>
        </w:rPr>
        <w:t xml:space="preserve"> </w:t>
      </w:r>
      <w:r w:rsidR="0054494F">
        <w:rPr>
          <w:rFonts w:ascii="Open Sans" w:hAnsi="Open Sans" w:cs="Open Sans"/>
          <w:sz w:val="20"/>
          <w:szCs w:val="20"/>
        </w:rPr>
        <w:t xml:space="preserve">preostalega </w:t>
      </w:r>
      <w:r w:rsidR="00AF5B86">
        <w:rPr>
          <w:rFonts w:ascii="Open Sans" w:hAnsi="Open Sans" w:cs="Open Sans"/>
          <w:sz w:val="20"/>
          <w:szCs w:val="20"/>
        </w:rPr>
        <w:t>dela nepremičnine v Škofji Loki v višini</w:t>
      </w:r>
      <w:r w:rsidR="00BA0494">
        <w:rPr>
          <w:rFonts w:ascii="Open Sans" w:hAnsi="Open Sans" w:cs="Open Sans"/>
          <w:sz w:val="20"/>
          <w:szCs w:val="20"/>
        </w:rPr>
        <w:t xml:space="preserve"> 932.743</w:t>
      </w:r>
      <w:r w:rsidR="00635A35">
        <w:rPr>
          <w:rFonts w:ascii="Open Sans" w:hAnsi="Open Sans" w:cs="Open Sans"/>
          <w:sz w:val="20"/>
          <w:szCs w:val="20"/>
        </w:rPr>
        <w:t xml:space="preserve"> EUR</w:t>
      </w:r>
      <w:r w:rsidR="0001621B">
        <w:rPr>
          <w:rFonts w:ascii="Open Sans" w:hAnsi="Open Sans" w:cs="Open Sans"/>
          <w:sz w:val="20"/>
          <w:szCs w:val="20"/>
        </w:rPr>
        <w:t xml:space="preserve"> (1.1. – 30.6.2019: 371.787</w:t>
      </w:r>
      <w:r w:rsidR="00C44BFD">
        <w:rPr>
          <w:rFonts w:ascii="Open Sans" w:hAnsi="Open Sans" w:cs="Open Sans"/>
          <w:sz w:val="20"/>
          <w:szCs w:val="20"/>
        </w:rPr>
        <w:t xml:space="preserve"> EUR)</w:t>
      </w:r>
      <w:r w:rsidR="00635A35">
        <w:rPr>
          <w:rFonts w:ascii="Open Sans" w:hAnsi="Open Sans" w:cs="Open Sans"/>
          <w:sz w:val="20"/>
          <w:szCs w:val="20"/>
        </w:rPr>
        <w:t xml:space="preserve">. Brez tega učinka bi poslovni izid </w:t>
      </w:r>
      <w:r w:rsidR="00C44BFD">
        <w:rPr>
          <w:rFonts w:ascii="Open Sans" w:hAnsi="Open Sans" w:cs="Open Sans"/>
          <w:sz w:val="20"/>
          <w:szCs w:val="20"/>
        </w:rPr>
        <w:t>v prvi</w:t>
      </w:r>
      <w:r w:rsidR="00257C3D">
        <w:rPr>
          <w:rFonts w:ascii="Open Sans" w:hAnsi="Open Sans" w:cs="Open Sans"/>
          <w:sz w:val="20"/>
          <w:szCs w:val="20"/>
        </w:rPr>
        <w:t>h</w:t>
      </w:r>
      <w:r w:rsidR="00C44BFD">
        <w:rPr>
          <w:rFonts w:ascii="Open Sans" w:hAnsi="Open Sans" w:cs="Open Sans"/>
          <w:sz w:val="20"/>
          <w:szCs w:val="20"/>
        </w:rPr>
        <w:t xml:space="preserve"> </w:t>
      </w:r>
      <w:r w:rsidR="005905E6">
        <w:rPr>
          <w:rFonts w:ascii="Open Sans" w:hAnsi="Open Sans" w:cs="Open Sans"/>
          <w:sz w:val="20"/>
          <w:szCs w:val="20"/>
        </w:rPr>
        <w:t>šestih</w:t>
      </w:r>
      <w:r w:rsidR="00257C3D">
        <w:rPr>
          <w:rFonts w:ascii="Open Sans" w:hAnsi="Open Sans" w:cs="Open Sans"/>
          <w:sz w:val="20"/>
          <w:szCs w:val="20"/>
        </w:rPr>
        <w:t xml:space="preserve"> mesecih</w:t>
      </w:r>
      <w:r w:rsidR="00760079">
        <w:rPr>
          <w:rFonts w:ascii="Open Sans" w:hAnsi="Open Sans" w:cs="Open Sans"/>
          <w:sz w:val="20"/>
          <w:szCs w:val="20"/>
        </w:rPr>
        <w:t xml:space="preserve"> leta 2020</w:t>
      </w:r>
      <w:r w:rsidR="00C44BFD">
        <w:rPr>
          <w:rFonts w:ascii="Open Sans" w:hAnsi="Open Sans" w:cs="Open Sans"/>
          <w:sz w:val="20"/>
          <w:szCs w:val="20"/>
        </w:rPr>
        <w:t xml:space="preserve"> </w:t>
      </w:r>
      <w:r w:rsidR="00635A35">
        <w:rPr>
          <w:rFonts w:ascii="Open Sans" w:hAnsi="Open Sans" w:cs="Open Sans"/>
          <w:sz w:val="20"/>
          <w:szCs w:val="20"/>
        </w:rPr>
        <w:t xml:space="preserve">znašal </w:t>
      </w:r>
      <w:r w:rsidR="0010143D">
        <w:rPr>
          <w:rFonts w:ascii="Open Sans" w:hAnsi="Open Sans" w:cs="Open Sans"/>
          <w:sz w:val="20"/>
          <w:szCs w:val="20"/>
        </w:rPr>
        <w:t>-396.689</w:t>
      </w:r>
      <w:r w:rsidR="00635A35">
        <w:rPr>
          <w:rFonts w:ascii="Open Sans" w:hAnsi="Open Sans" w:cs="Open Sans"/>
          <w:sz w:val="20"/>
          <w:szCs w:val="20"/>
        </w:rPr>
        <w:t xml:space="preserve"> EUR</w:t>
      </w:r>
      <w:r w:rsidR="00DD315E">
        <w:rPr>
          <w:rFonts w:ascii="Open Sans" w:hAnsi="Open Sans" w:cs="Open Sans"/>
          <w:sz w:val="20"/>
          <w:szCs w:val="20"/>
        </w:rPr>
        <w:t xml:space="preserve"> </w:t>
      </w:r>
      <w:r w:rsidR="00DB1327">
        <w:rPr>
          <w:rFonts w:ascii="Open Sans" w:hAnsi="Open Sans" w:cs="Open Sans"/>
          <w:sz w:val="20"/>
          <w:szCs w:val="20"/>
        </w:rPr>
        <w:t>(1.1. – 30.6.2019: 19.547 EUR)</w:t>
      </w:r>
      <w:r w:rsidR="00635A35">
        <w:rPr>
          <w:rFonts w:ascii="Open Sans" w:hAnsi="Open Sans" w:cs="Open Sans"/>
          <w:sz w:val="20"/>
          <w:szCs w:val="20"/>
        </w:rPr>
        <w:t>.</w:t>
      </w:r>
      <w:r w:rsidR="00AF5B86">
        <w:rPr>
          <w:rFonts w:ascii="Open Sans" w:hAnsi="Open Sans" w:cs="Open Sans"/>
          <w:sz w:val="20"/>
          <w:szCs w:val="20"/>
        </w:rPr>
        <w:t xml:space="preserve"> </w:t>
      </w:r>
      <w:r w:rsidR="00A00808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2E49C0FF" w14:textId="0DC22D7D" w:rsidR="00794DAF" w:rsidRPr="000301BE" w:rsidRDefault="00D929C6" w:rsidP="0092421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Čisti </w:t>
      </w:r>
      <w:r w:rsidRPr="00CB45D1">
        <w:rPr>
          <w:rFonts w:ascii="Open Sans" w:hAnsi="Open Sans" w:cs="Open Sans"/>
          <w:sz w:val="20"/>
          <w:szCs w:val="20"/>
        </w:rPr>
        <w:t>prihodki od prodaje</w:t>
      </w:r>
      <w:r w:rsidR="00992F38" w:rsidRPr="00CB45D1">
        <w:rPr>
          <w:rFonts w:ascii="Open Sans" w:hAnsi="Open Sans" w:cs="Open Sans"/>
          <w:sz w:val="20"/>
          <w:szCs w:val="20"/>
        </w:rPr>
        <w:t xml:space="preserve"> so v </w:t>
      </w:r>
      <w:r w:rsidR="00FF0C10">
        <w:rPr>
          <w:rFonts w:ascii="Open Sans" w:hAnsi="Open Sans" w:cs="Open Sans"/>
          <w:sz w:val="20"/>
          <w:szCs w:val="20"/>
        </w:rPr>
        <w:t>obdobju 1.1. do 30.6</w:t>
      </w:r>
      <w:r w:rsidR="00EA5BAB">
        <w:rPr>
          <w:rFonts w:ascii="Open Sans" w:hAnsi="Open Sans" w:cs="Open Sans"/>
          <w:sz w:val="20"/>
          <w:szCs w:val="20"/>
        </w:rPr>
        <w:t>.2020</w:t>
      </w:r>
      <w:r w:rsidR="00992F38" w:rsidRPr="00CB45D1">
        <w:rPr>
          <w:rFonts w:ascii="Open Sans" w:hAnsi="Open Sans" w:cs="Open Sans"/>
          <w:sz w:val="20"/>
          <w:szCs w:val="20"/>
        </w:rPr>
        <w:t xml:space="preserve"> znašali </w:t>
      </w:r>
      <w:r w:rsidR="00A835B3">
        <w:rPr>
          <w:rFonts w:ascii="Open Sans" w:hAnsi="Open Sans" w:cs="Open Sans"/>
          <w:sz w:val="20"/>
          <w:szCs w:val="20"/>
        </w:rPr>
        <w:t>3.610.105 EUR in so bili za 45,6</w:t>
      </w:r>
      <w:r w:rsidR="00992F38" w:rsidRPr="00302C77">
        <w:rPr>
          <w:rFonts w:ascii="Open Sans" w:hAnsi="Open Sans" w:cs="Open Sans"/>
          <w:sz w:val="20"/>
          <w:szCs w:val="20"/>
        </w:rPr>
        <w:t xml:space="preserve">% </w:t>
      </w:r>
      <w:r w:rsidR="00D006FC" w:rsidRPr="00302C77">
        <w:rPr>
          <w:rFonts w:ascii="Open Sans" w:hAnsi="Open Sans" w:cs="Open Sans"/>
          <w:sz w:val="20"/>
          <w:szCs w:val="20"/>
        </w:rPr>
        <w:t>nižji</w:t>
      </w:r>
      <w:r w:rsidR="00C6057B" w:rsidRPr="00302C77">
        <w:rPr>
          <w:rFonts w:ascii="Open Sans" w:hAnsi="Open Sans" w:cs="Open Sans"/>
          <w:sz w:val="20"/>
          <w:szCs w:val="20"/>
        </w:rPr>
        <w:t xml:space="preserve"> kot v primerljivem obdobju lani, ko so znašali </w:t>
      </w:r>
      <w:r w:rsidR="00A835B3">
        <w:rPr>
          <w:rFonts w:ascii="Open Sans" w:hAnsi="Open Sans" w:cs="Open Sans"/>
          <w:sz w:val="20"/>
          <w:szCs w:val="20"/>
        </w:rPr>
        <w:t>6.632.771</w:t>
      </w:r>
      <w:r w:rsidR="00122808">
        <w:rPr>
          <w:rFonts w:ascii="Open Sans" w:hAnsi="Open Sans" w:cs="Open Sans"/>
          <w:sz w:val="20"/>
          <w:szCs w:val="20"/>
        </w:rPr>
        <w:t xml:space="preserve"> </w:t>
      </w:r>
      <w:r w:rsidR="00C6057B" w:rsidRPr="00CB45D1">
        <w:rPr>
          <w:rFonts w:ascii="Open Sans" w:hAnsi="Open Sans" w:cs="Open Sans"/>
          <w:sz w:val="20"/>
          <w:szCs w:val="20"/>
        </w:rPr>
        <w:t>EUR</w:t>
      </w:r>
      <w:r w:rsidR="00992F38" w:rsidRPr="00CB45D1">
        <w:rPr>
          <w:rFonts w:ascii="Open Sans" w:hAnsi="Open Sans" w:cs="Open Sans"/>
          <w:sz w:val="20"/>
          <w:szCs w:val="20"/>
        </w:rPr>
        <w:t xml:space="preserve">. </w:t>
      </w:r>
      <w:r w:rsidR="00F4390A" w:rsidRPr="000301BE">
        <w:rPr>
          <w:rFonts w:ascii="Open Sans" w:hAnsi="Open Sans" w:cs="Open Sans"/>
          <w:sz w:val="20"/>
          <w:szCs w:val="20"/>
        </w:rPr>
        <w:t>Znižanje prihodkov od prodaje</w:t>
      </w:r>
      <w:r w:rsidR="005F55F4" w:rsidRPr="000301BE">
        <w:rPr>
          <w:rFonts w:ascii="Open Sans" w:hAnsi="Open Sans" w:cs="Open Sans"/>
          <w:sz w:val="20"/>
          <w:szCs w:val="20"/>
        </w:rPr>
        <w:t xml:space="preserve"> je posledica pomembnega znižanja prihodkov od prodaje</w:t>
      </w:r>
      <w:r w:rsidR="00F4390A" w:rsidRPr="000301BE">
        <w:rPr>
          <w:rFonts w:ascii="Open Sans" w:hAnsi="Open Sans" w:cs="Open Sans"/>
          <w:sz w:val="20"/>
          <w:szCs w:val="20"/>
        </w:rPr>
        <w:t xml:space="preserve"> trgovskega blaga</w:t>
      </w:r>
      <w:r w:rsidR="00794DAF" w:rsidRPr="000301BE">
        <w:rPr>
          <w:rFonts w:ascii="Open Sans" w:hAnsi="Open Sans" w:cs="Open Sans"/>
          <w:sz w:val="20"/>
          <w:szCs w:val="20"/>
        </w:rPr>
        <w:t xml:space="preserve">. </w:t>
      </w:r>
      <w:r w:rsidR="000A5BF7">
        <w:rPr>
          <w:rFonts w:ascii="Open Sans" w:hAnsi="Open Sans" w:cs="Open Sans"/>
          <w:sz w:val="20"/>
          <w:szCs w:val="20"/>
        </w:rPr>
        <w:t xml:space="preserve">Zaradi odloka </w:t>
      </w:r>
      <w:r w:rsidR="000A5BF7" w:rsidRPr="000301BE">
        <w:rPr>
          <w:rFonts w:ascii="Open Sans" w:hAnsi="Open Sans" w:cs="Open Sans"/>
          <w:sz w:val="20"/>
          <w:szCs w:val="20"/>
        </w:rPr>
        <w:t>o začasni prepovedi ponujanja blaga in storitev potrošnikom v Republiki Sloveniji</w:t>
      </w:r>
      <w:r w:rsidR="000A5BF7">
        <w:rPr>
          <w:rFonts w:ascii="Open Sans" w:hAnsi="Open Sans" w:cs="Open Sans"/>
          <w:sz w:val="20"/>
          <w:szCs w:val="20"/>
        </w:rPr>
        <w:t>, ki ga je Vlada Republike Slovenije sprejela</w:t>
      </w:r>
      <w:r w:rsidR="00794DAF" w:rsidRPr="000301BE">
        <w:rPr>
          <w:rFonts w:ascii="Open Sans" w:hAnsi="Open Sans" w:cs="Open Sans"/>
          <w:sz w:val="20"/>
          <w:szCs w:val="20"/>
        </w:rPr>
        <w:t xml:space="preserve"> dne 15.3.2020</w:t>
      </w:r>
      <w:r w:rsidR="008A66ED">
        <w:rPr>
          <w:rFonts w:ascii="Open Sans" w:hAnsi="Open Sans" w:cs="Open Sans"/>
          <w:sz w:val="20"/>
          <w:szCs w:val="20"/>
        </w:rPr>
        <w:t>,</w:t>
      </w:r>
      <w:r w:rsidR="00794DAF" w:rsidRPr="000301BE">
        <w:rPr>
          <w:rFonts w:ascii="Open Sans" w:hAnsi="Open Sans" w:cs="Open Sans"/>
          <w:sz w:val="20"/>
          <w:szCs w:val="20"/>
        </w:rPr>
        <w:t xml:space="preserve"> </w:t>
      </w:r>
      <w:r w:rsidR="000A5BF7">
        <w:rPr>
          <w:rFonts w:ascii="Open Sans" w:hAnsi="Open Sans" w:cs="Open Sans"/>
          <w:sz w:val="20"/>
          <w:szCs w:val="20"/>
        </w:rPr>
        <w:t>maloprodajne enote družbe niso poslovale v obdobju od 16.3.2020 do 18.5.2020</w:t>
      </w:r>
      <w:r w:rsidR="00794DAF" w:rsidRPr="000301BE">
        <w:rPr>
          <w:rFonts w:ascii="Open Sans" w:hAnsi="Open Sans" w:cs="Open Sans"/>
          <w:sz w:val="20"/>
          <w:szCs w:val="20"/>
        </w:rPr>
        <w:t xml:space="preserve">, posledično pa </w:t>
      </w:r>
      <w:r w:rsidR="008A66ED">
        <w:rPr>
          <w:rFonts w:ascii="Open Sans" w:hAnsi="Open Sans" w:cs="Open Sans"/>
          <w:sz w:val="20"/>
          <w:szCs w:val="20"/>
        </w:rPr>
        <w:t xml:space="preserve">družba </w:t>
      </w:r>
      <w:r w:rsidR="006F730C">
        <w:rPr>
          <w:rFonts w:ascii="Open Sans" w:hAnsi="Open Sans" w:cs="Open Sans"/>
          <w:sz w:val="20"/>
          <w:szCs w:val="20"/>
        </w:rPr>
        <w:t>ni ustvarila planiranih</w:t>
      </w:r>
      <w:r w:rsidR="00794DAF" w:rsidRPr="000301BE">
        <w:rPr>
          <w:rFonts w:ascii="Open Sans" w:hAnsi="Open Sans" w:cs="Open Sans"/>
          <w:sz w:val="20"/>
          <w:szCs w:val="20"/>
        </w:rPr>
        <w:t xml:space="preserve"> prihodkov od prodaje</w:t>
      </w:r>
      <w:r w:rsidR="00DE687D" w:rsidRPr="000301BE">
        <w:rPr>
          <w:rFonts w:ascii="Open Sans" w:hAnsi="Open Sans" w:cs="Open Sans"/>
          <w:sz w:val="20"/>
          <w:szCs w:val="20"/>
        </w:rPr>
        <w:t xml:space="preserve">. </w:t>
      </w:r>
    </w:p>
    <w:p w14:paraId="6EF5913B" w14:textId="1BC2DC43" w:rsidR="00E83A94" w:rsidRDefault="00DE687D" w:rsidP="00924219">
      <w:pPr>
        <w:jc w:val="both"/>
        <w:rPr>
          <w:rFonts w:ascii="Open Sans" w:hAnsi="Open Sans" w:cs="Open Sans"/>
          <w:sz w:val="20"/>
          <w:szCs w:val="20"/>
        </w:rPr>
      </w:pPr>
      <w:r w:rsidRPr="00DE687D">
        <w:rPr>
          <w:rFonts w:ascii="Open Sans" w:hAnsi="Open Sans" w:cs="Open Sans"/>
          <w:sz w:val="20"/>
          <w:szCs w:val="20"/>
        </w:rPr>
        <w:t>Prihodki od najemnin, ki v tem obdobju znašajo</w:t>
      </w:r>
      <w:r w:rsidR="00F718F3">
        <w:rPr>
          <w:rFonts w:ascii="Open Sans" w:hAnsi="Open Sans" w:cs="Open Sans"/>
          <w:sz w:val="20"/>
          <w:szCs w:val="20"/>
        </w:rPr>
        <w:t xml:space="preserve"> </w:t>
      </w:r>
      <w:r w:rsidR="00862C68">
        <w:rPr>
          <w:rFonts w:ascii="Open Sans" w:hAnsi="Open Sans" w:cs="Open Sans"/>
          <w:sz w:val="20"/>
          <w:szCs w:val="20"/>
        </w:rPr>
        <w:t>786.207</w:t>
      </w:r>
      <w:r w:rsidR="00F718F3">
        <w:rPr>
          <w:rFonts w:ascii="Open Sans" w:hAnsi="Open Sans" w:cs="Open Sans"/>
          <w:sz w:val="20"/>
          <w:szCs w:val="20"/>
        </w:rPr>
        <w:t xml:space="preserve"> EUR, so za </w:t>
      </w:r>
      <w:r w:rsidR="00862C68">
        <w:rPr>
          <w:rFonts w:ascii="Open Sans" w:hAnsi="Open Sans" w:cs="Open Sans"/>
          <w:sz w:val="20"/>
          <w:szCs w:val="20"/>
        </w:rPr>
        <w:t>4,7</w:t>
      </w:r>
      <w:r w:rsidR="00F718F3">
        <w:rPr>
          <w:rFonts w:ascii="Open Sans" w:hAnsi="Open Sans" w:cs="Open Sans"/>
          <w:sz w:val="20"/>
          <w:szCs w:val="20"/>
        </w:rPr>
        <w:t xml:space="preserve">% </w:t>
      </w:r>
      <w:r w:rsidR="00862C68">
        <w:rPr>
          <w:rFonts w:ascii="Open Sans" w:hAnsi="Open Sans" w:cs="Open Sans"/>
          <w:sz w:val="20"/>
          <w:szCs w:val="20"/>
        </w:rPr>
        <w:t>nižji</w:t>
      </w:r>
      <w:r w:rsidR="00F718F3">
        <w:rPr>
          <w:rFonts w:ascii="Open Sans" w:hAnsi="Open Sans" w:cs="Open Sans"/>
          <w:sz w:val="20"/>
          <w:szCs w:val="20"/>
        </w:rPr>
        <w:t xml:space="preserve"> od tistih, realiziranih v primerljivem obdobju lani</w:t>
      </w:r>
      <w:r w:rsidR="00582EB2">
        <w:rPr>
          <w:rFonts w:ascii="Open Sans" w:hAnsi="Open Sans" w:cs="Open Sans"/>
          <w:sz w:val="20"/>
          <w:szCs w:val="20"/>
        </w:rPr>
        <w:t>, ko so znašali 825.374 EUR</w:t>
      </w:r>
      <w:r w:rsidR="00B50CE1">
        <w:rPr>
          <w:rFonts w:ascii="Open Sans" w:hAnsi="Open Sans" w:cs="Open Sans"/>
          <w:sz w:val="20"/>
          <w:szCs w:val="20"/>
        </w:rPr>
        <w:t xml:space="preserve">. </w:t>
      </w:r>
      <w:r w:rsidR="00FC6E38">
        <w:rPr>
          <w:rFonts w:ascii="Open Sans" w:hAnsi="Open Sans" w:cs="Open Sans"/>
          <w:sz w:val="20"/>
          <w:szCs w:val="20"/>
        </w:rPr>
        <w:t xml:space="preserve"> </w:t>
      </w:r>
    </w:p>
    <w:p w14:paraId="66462D1B" w14:textId="568FA40B" w:rsidR="008436C5" w:rsidRPr="00CB45D1" w:rsidRDefault="008436C5" w:rsidP="00924219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Družba je v prvi polovici leta 2020 realizirala za 1.230.764 EUR drugih poslovnih prihodkov</w:t>
      </w:r>
      <w:r w:rsidR="00271963">
        <w:rPr>
          <w:rFonts w:ascii="Open Sans" w:hAnsi="Open Sans" w:cs="Open Sans"/>
          <w:sz w:val="20"/>
          <w:szCs w:val="20"/>
        </w:rPr>
        <w:t xml:space="preserve"> (1.1. – 30.6.2019: 454.668 EUR)</w:t>
      </w:r>
      <w:r>
        <w:rPr>
          <w:rFonts w:ascii="Open Sans" w:hAnsi="Open Sans" w:cs="Open Sans"/>
          <w:sz w:val="20"/>
          <w:szCs w:val="20"/>
        </w:rPr>
        <w:t xml:space="preserve">. Večji del teh prihodkov se nanaša na dobičke pri prodaji nepremičnine v Škofji Loki ter na subvencije države iz naslova povračil stroškov dela v času epidemije </w:t>
      </w:r>
      <w:proofErr w:type="spellStart"/>
      <w:r>
        <w:rPr>
          <w:rFonts w:ascii="Open Sans" w:hAnsi="Open Sans" w:cs="Open Sans"/>
          <w:sz w:val="20"/>
          <w:szCs w:val="20"/>
        </w:rPr>
        <w:t>Covid</w:t>
      </w:r>
      <w:proofErr w:type="spellEnd"/>
      <w:r>
        <w:rPr>
          <w:rFonts w:ascii="Open Sans" w:hAnsi="Open Sans" w:cs="Open Sans"/>
          <w:sz w:val="20"/>
          <w:szCs w:val="20"/>
        </w:rPr>
        <w:t xml:space="preserve"> 19.</w:t>
      </w:r>
    </w:p>
    <w:p w14:paraId="67F1D1EC" w14:textId="71B457D7" w:rsidR="009C55DE" w:rsidRDefault="00884661" w:rsidP="00924219">
      <w:pPr>
        <w:jc w:val="both"/>
        <w:rPr>
          <w:rFonts w:ascii="Open Sans" w:hAnsi="Open Sans" w:cs="Open Sans"/>
          <w:sz w:val="20"/>
          <w:szCs w:val="20"/>
        </w:rPr>
      </w:pPr>
      <w:r w:rsidRPr="00CB45D1">
        <w:rPr>
          <w:rFonts w:ascii="Open Sans" w:hAnsi="Open Sans" w:cs="Open Sans"/>
          <w:sz w:val="20"/>
          <w:szCs w:val="20"/>
        </w:rPr>
        <w:t>Stroški blaga, materiala in storitev</w:t>
      </w:r>
      <w:r w:rsidR="004E1ED2" w:rsidRPr="00CB45D1">
        <w:rPr>
          <w:rFonts w:ascii="Open Sans" w:hAnsi="Open Sans" w:cs="Open Sans"/>
          <w:sz w:val="20"/>
          <w:szCs w:val="20"/>
        </w:rPr>
        <w:t xml:space="preserve"> so v </w:t>
      </w:r>
      <w:r w:rsidR="0083614F">
        <w:rPr>
          <w:rFonts w:ascii="Open Sans" w:hAnsi="Open Sans" w:cs="Open Sans"/>
          <w:sz w:val="20"/>
          <w:szCs w:val="20"/>
        </w:rPr>
        <w:t>obdobju 1.1. do 30.6</w:t>
      </w:r>
      <w:r w:rsidR="00156ECF">
        <w:rPr>
          <w:rFonts w:ascii="Open Sans" w:hAnsi="Open Sans" w:cs="Open Sans"/>
          <w:sz w:val="20"/>
          <w:szCs w:val="20"/>
        </w:rPr>
        <w:t>.2020</w:t>
      </w:r>
      <w:r w:rsidR="004E1ED2" w:rsidRPr="00CB45D1">
        <w:rPr>
          <w:rFonts w:ascii="Open Sans" w:hAnsi="Open Sans" w:cs="Open Sans"/>
          <w:sz w:val="20"/>
          <w:szCs w:val="20"/>
        </w:rPr>
        <w:t xml:space="preserve"> znašali</w:t>
      </w:r>
      <w:r w:rsidR="0081049D" w:rsidRPr="00CA57B7">
        <w:rPr>
          <w:rFonts w:ascii="Open Sans" w:hAnsi="Open Sans" w:cs="Open Sans"/>
          <w:sz w:val="20"/>
          <w:szCs w:val="20"/>
        </w:rPr>
        <w:t xml:space="preserve"> </w:t>
      </w:r>
      <w:r w:rsidR="0083614F">
        <w:rPr>
          <w:rFonts w:ascii="Open Sans" w:hAnsi="Open Sans" w:cs="Open Sans"/>
          <w:sz w:val="20"/>
          <w:szCs w:val="20"/>
        </w:rPr>
        <w:t>2.393.044</w:t>
      </w:r>
      <w:r w:rsidR="0081049D" w:rsidRPr="00CB45D1">
        <w:rPr>
          <w:rFonts w:ascii="Open Sans" w:hAnsi="Open Sans" w:cs="Open Sans"/>
          <w:sz w:val="20"/>
          <w:szCs w:val="20"/>
        </w:rPr>
        <w:t xml:space="preserve"> EUR in </w:t>
      </w:r>
      <w:r w:rsidR="004E1ED2" w:rsidRPr="00CB45D1">
        <w:rPr>
          <w:rFonts w:ascii="Open Sans" w:hAnsi="Open Sans" w:cs="Open Sans"/>
          <w:sz w:val="20"/>
          <w:szCs w:val="20"/>
        </w:rPr>
        <w:t>so</w:t>
      </w:r>
      <w:r w:rsidR="00271220" w:rsidRPr="00CB45D1">
        <w:rPr>
          <w:rFonts w:ascii="Open Sans" w:hAnsi="Open Sans" w:cs="Open Sans"/>
          <w:sz w:val="20"/>
          <w:szCs w:val="20"/>
        </w:rPr>
        <w:t xml:space="preserve"> bili </w:t>
      </w:r>
      <w:r w:rsidR="004637F6">
        <w:rPr>
          <w:rFonts w:ascii="Open Sans" w:hAnsi="Open Sans" w:cs="Open Sans"/>
          <w:sz w:val="20"/>
          <w:szCs w:val="20"/>
        </w:rPr>
        <w:t xml:space="preserve">za </w:t>
      </w:r>
      <w:r w:rsidR="0083614F">
        <w:rPr>
          <w:rFonts w:ascii="Open Sans" w:hAnsi="Open Sans" w:cs="Open Sans"/>
          <w:sz w:val="20"/>
          <w:szCs w:val="20"/>
        </w:rPr>
        <w:t>47,1</w:t>
      </w:r>
      <w:r w:rsidR="004E1ED2" w:rsidRPr="00CA57B7">
        <w:rPr>
          <w:rFonts w:ascii="Open Sans" w:hAnsi="Open Sans" w:cs="Open Sans"/>
          <w:sz w:val="20"/>
          <w:szCs w:val="20"/>
        </w:rPr>
        <w:t xml:space="preserve">% </w:t>
      </w:r>
      <w:r w:rsidR="004637F6" w:rsidRPr="00CA57B7">
        <w:rPr>
          <w:rFonts w:ascii="Open Sans" w:hAnsi="Open Sans" w:cs="Open Sans"/>
          <w:sz w:val="20"/>
          <w:szCs w:val="20"/>
        </w:rPr>
        <w:t>nižji</w:t>
      </w:r>
      <w:r w:rsidR="0081049D" w:rsidRPr="00CB45D1">
        <w:rPr>
          <w:rFonts w:ascii="Open Sans" w:hAnsi="Open Sans" w:cs="Open Sans"/>
          <w:sz w:val="20"/>
          <w:szCs w:val="20"/>
        </w:rPr>
        <w:t xml:space="preserve"> kot v primerljivem obdobju lani</w:t>
      </w:r>
      <w:r w:rsidRPr="00CB45D1">
        <w:rPr>
          <w:rFonts w:ascii="Open Sans" w:hAnsi="Open Sans" w:cs="Open Sans"/>
          <w:sz w:val="20"/>
          <w:szCs w:val="20"/>
        </w:rPr>
        <w:t xml:space="preserve">, ko so znašali </w:t>
      </w:r>
      <w:r w:rsidR="0083614F">
        <w:rPr>
          <w:rFonts w:ascii="Open Sans" w:hAnsi="Open Sans" w:cs="Open Sans"/>
          <w:sz w:val="20"/>
          <w:szCs w:val="20"/>
        </w:rPr>
        <w:t>4.527.332</w:t>
      </w:r>
      <w:r w:rsidR="003D2B12" w:rsidRPr="00CB45D1">
        <w:rPr>
          <w:rFonts w:ascii="Open Sans" w:hAnsi="Open Sans" w:cs="Open Sans"/>
          <w:sz w:val="20"/>
          <w:szCs w:val="20"/>
        </w:rPr>
        <w:t xml:space="preserve"> </w:t>
      </w:r>
      <w:r w:rsidR="0094690B" w:rsidRPr="00CB45D1">
        <w:rPr>
          <w:rFonts w:ascii="Open Sans" w:hAnsi="Open Sans" w:cs="Open Sans"/>
          <w:sz w:val="20"/>
          <w:szCs w:val="20"/>
        </w:rPr>
        <w:t>EUR</w:t>
      </w:r>
      <w:r w:rsidR="0081049D" w:rsidRPr="00CB45D1">
        <w:rPr>
          <w:rFonts w:ascii="Open Sans" w:hAnsi="Open Sans" w:cs="Open Sans"/>
          <w:sz w:val="20"/>
          <w:szCs w:val="20"/>
        </w:rPr>
        <w:t>.</w:t>
      </w:r>
      <w:r w:rsidR="000816E6">
        <w:rPr>
          <w:rFonts w:ascii="Open Sans" w:hAnsi="Open Sans" w:cs="Open Sans"/>
          <w:sz w:val="20"/>
          <w:szCs w:val="20"/>
        </w:rPr>
        <w:t xml:space="preserve"> Znižanje je sorazmerno znižanju prihodkov od prodaje trgovskega blaga.</w:t>
      </w:r>
      <w:r w:rsidR="00271220" w:rsidRPr="00CB45D1">
        <w:rPr>
          <w:rFonts w:ascii="Open Sans" w:hAnsi="Open Sans" w:cs="Open Sans"/>
          <w:sz w:val="20"/>
          <w:szCs w:val="20"/>
        </w:rPr>
        <w:t xml:space="preserve"> </w:t>
      </w:r>
    </w:p>
    <w:p w14:paraId="7228344B" w14:textId="6D57D8AB" w:rsidR="009A1F2F" w:rsidRDefault="005F57DD" w:rsidP="00924219">
      <w:pPr>
        <w:jc w:val="both"/>
        <w:rPr>
          <w:rFonts w:ascii="Open Sans" w:hAnsi="Open Sans" w:cs="Open Sans"/>
          <w:sz w:val="20"/>
          <w:szCs w:val="20"/>
        </w:rPr>
      </w:pPr>
      <w:r w:rsidRPr="00CB45D1">
        <w:rPr>
          <w:rFonts w:ascii="Open Sans" w:hAnsi="Open Sans" w:cs="Open Sans"/>
          <w:sz w:val="20"/>
          <w:szCs w:val="20"/>
        </w:rPr>
        <w:t xml:space="preserve">Stroški </w:t>
      </w:r>
      <w:r>
        <w:rPr>
          <w:rFonts w:ascii="Open Sans" w:hAnsi="Open Sans" w:cs="Open Sans"/>
          <w:sz w:val="20"/>
          <w:szCs w:val="20"/>
        </w:rPr>
        <w:t>dela</w:t>
      </w:r>
      <w:r w:rsidRPr="00CB45D1">
        <w:rPr>
          <w:rFonts w:ascii="Open Sans" w:hAnsi="Open Sans" w:cs="Open Sans"/>
          <w:sz w:val="20"/>
          <w:szCs w:val="20"/>
        </w:rPr>
        <w:t xml:space="preserve"> so v </w:t>
      </w:r>
      <w:r w:rsidR="00156ECF">
        <w:rPr>
          <w:rFonts w:ascii="Open Sans" w:hAnsi="Open Sans" w:cs="Open Sans"/>
          <w:sz w:val="20"/>
          <w:szCs w:val="20"/>
        </w:rPr>
        <w:t>obdob</w:t>
      </w:r>
      <w:r w:rsidR="00452081">
        <w:rPr>
          <w:rFonts w:ascii="Open Sans" w:hAnsi="Open Sans" w:cs="Open Sans"/>
          <w:sz w:val="20"/>
          <w:szCs w:val="20"/>
        </w:rPr>
        <w:t>ju 1.1. do 30.6</w:t>
      </w:r>
      <w:r w:rsidR="002F5B8A">
        <w:rPr>
          <w:rFonts w:ascii="Open Sans" w:hAnsi="Open Sans" w:cs="Open Sans"/>
          <w:sz w:val="20"/>
          <w:szCs w:val="20"/>
        </w:rPr>
        <w:t xml:space="preserve">.2020 znašali </w:t>
      </w:r>
      <w:r w:rsidR="00256B7C">
        <w:rPr>
          <w:rFonts w:ascii="Open Sans" w:hAnsi="Open Sans" w:cs="Open Sans"/>
          <w:sz w:val="20"/>
          <w:szCs w:val="20"/>
        </w:rPr>
        <w:t>1.271.177</w:t>
      </w:r>
      <w:r w:rsidRPr="00CB45D1">
        <w:rPr>
          <w:rFonts w:ascii="Open Sans" w:hAnsi="Open Sans" w:cs="Open Sans"/>
          <w:sz w:val="20"/>
          <w:szCs w:val="20"/>
        </w:rPr>
        <w:t xml:space="preserve"> EUR</w:t>
      </w:r>
      <w:r w:rsidR="00E1339C">
        <w:rPr>
          <w:rFonts w:ascii="Open Sans" w:hAnsi="Open Sans" w:cs="Open Sans"/>
          <w:sz w:val="20"/>
          <w:szCs w:val="20"/>
        </w:rPr>
        <w:t xml:space="preserve"> </w:t>
      </w:r>
      <w:r w:rsidRPr="00CB45D1">
        <w:rPr>
          <w:rFonts w:ascii="Open Sans" w:hAnsi="Open Sans" w:cs="Open Sans"/>
          <w:sz w:val="20"/>
          <w:szCs w:val="20"/>
        </w:rPr>
        <w:t xml:space="preserve">in so bili </w:t>
      </w:r>
      <w:r>
        <w:rPr>
          <w:rFonts w:ascii="Open Sans" w:hAnsi="Open Sans" w:cs="Open Sans"/>
          <w:sz w:val="20"/>
          <w:szCs w:val="20"/>
        </w:rPr>
        <w:t xml:space="preserve">za </w:t>
      </w:r>
      <w:r w:rsidR="00256B7C">
        <w:rPr>
          <w:rFonts w:ascii="Open Sans" w:hAnsi="Open Sans" w:cs="Open Sans"/>
          <w:sz w:val="20"/>
          <w:szCs w:val="20"/>
        </w:rPr>
        <w:t>17,8</w:t>
      </w:r>
      <w:r w:rsidRPr="00EA06AA">
        <w:rPr>
          <w:rFonts w:ascii="Open Sans" w:hAnsi="Open Sans" w:cs="Open Sans"/>
          <w:sz w:val="20"/>
          <w:szCs w:val="20"/>
        </w:rPr>
        <w:t xml:space="preserve">% nižji </w:t>
      </w:r>
      <w:r w:rsidRPr="00CB45D1">
        <w:rPr>
          <w:rFonts w:ascii="Open Sans" w:hAnsi="Open Sans" w:cs="Open Sans"/>
          <w:sz w:val="20"/>
          <w:szCs w:val="20"/>
        </w:rPr>
        <w:t xml:space="preserve">kot v primerljivem obdobju lani, ko so znašali </w:t>
      </w:r>
      <w:r w:rsidR="00256B7C">
        <w:rPr>
          <w:rFonts w:ascii="Open Sans" w:hAnsi="Open Sans" w:cs="Open Sans"/>
          <w:sz w:val="20"/>
          <w:szCs w:val="20"/>
        </w:rPr>
        <w:t>1.546.282</w:t>
      </w:r>
      <w:r w:rsidRPr="00CB45D1">
        <w:rPr>
          <w:rFonts w:ascii="Open Sans" w:hAnsi="Open Sans" w:cs="Open Sans"/>
          <w:sz w:val="20"/>
          <w:szCs w:val="20"/>
        </w:rPr>
        <w:t xml:space="preserve"> EUR.</w:t>
      </w:r>
      <w:r w:rsidR="009C55DE">
        <w:rPr>
          <w:rFonts w:ascii="Open Sans" w:hAnsi="Open Sans" w:cs="Open Sans"/>
          <w:sz w:val="20"/>
          <w:szCs w:val="20"/>
        </w:rPr>
        <w:t xml:space="preserve"> </w:t>
      </w:r>
      <w:r w:rsidR="009C55DE" w:rsidRPr="00622601">
        <w:rPr>
          <w:rFonts w:ascii="Open Sans" w:hAnsi="Open Sans" w:cs="Open Sans"/>
          <w:sz w:val="20"/>
          <w:szCs w:val="20"/>
        </w:rPr>
        <w:t>Družba je v tem obdobju prejela za 190.024 EUR subvenci</w:t>
      </w:r>
      <w:r w:rsidR="0037515D" w:rsidRPr="00622601">
        <w:rPr>
          <w:rFonts w:ascii="Open Sans" w:hAnsi="Open Sans" w:cs="Open Sans"/>
          <w:sz w:val="20"/>
          <w:szCs w:val="20"/>
        </w:rPr>
        <w:t xml:space="preserve">j države iz naslova povračil stroškov dela v času epidemije </w:t>
      </w:r>
      <w:proofErr w:type="spellStart"/>
      <w:r w:rsidR="0037515D" w:rsidRPr="00622601">
        <w:rPr>
          <w:rFonts w:ascii="Open Sans" w:hAnsi="Open Sans" w:cs="Open Sans"/>
          <w:sz w:val="20"/>
          <w:szCs w:val="20"/>
        </w:rPr>
        <w:t>Covid</w:t>
      </w:r>
      <w:proofErr w:type="spellEnd"/>
      <w:r w:rsidR="0037515D" w:rsidRPr="00622601">
        <w:rPr>
          <w:rFonts w:ascii="Open Sans" w:hAnsi="Open Sans" w:cs="Open Sans"/>
          <w:sz w:val="20"/>
          <w:szCs w:val="20"/>
        </w:rPr>
        <w:t xml:space="preserve"> 19.</w:t>
      </w:r>
      <w:r w:rsidR="009C55DE" w:rsidRPr="00622601">
        <w:rPr>
          <w:rFonts w:ascii="Open Sans" w:hAnsi="Open Sans" w:cs="Open Sans"/>
          <w:sz w:val="20"/>
          <w:szCs w:val="20"/>
        </w:rPr>
        <w:t xml:space="preserve"> Te</w:t>
      </w:r>
      <w:r w:rsidR="0037515D" w:rsidRPr="00622601">
        <w:rPr>
          <w:rFonts w:ascii="Open Sans" w:hAnsi="Open Sans" w:cs="Open Sans"/>
          <w:sz w:val="20"/>
          <w:szCs w:val="20"/>
        </w:rPr>
        <w:t xml:space="preserve"> subvencije</w:t>
      </w:r>
      <w:r w:rsidR="009C55DE" w:rsidRPr="00622601">
        <w:rPr>
          <w:rFonts w:ascii="Open Sans" w:hAnsi="Open Sans" w:cs="Open Sans"/>
          <w:sz w:val="20"/>
          <w:szCs w:val="20"/>
        </w:rPr>
        <w:t xml:space="preserve"> so</w:t>
      </w:r>
      <w:r w:rsidR="006F730C" w:rsidRPr="00622601">
        <w:rPr>
          <w:rFonts w:ascii="Open Sans" w:hAnsi="Open Sans" w:cs="Open Sans"/>
          <w:sz w:val="20"/>
          <w:szCs w:val="20"/>
        </w:rPr>
        <w:t xml:space="preserve"> sicer</w:t>
      </w:r>
      <w:r w:rsidR="009C55DE" w:rsidRPr="00622601">
        <w:rPr>
          <w:rFonts w:ascii="Open Sans" w:hAnsi="Open Sans" w:cs="Open Sans"/>
          <w:sz w:val="20"/>
          <w:szCs w:val="20"/>
        </w:rPr>
        <w:t xml:space="preserve"> izkazane med drugimi poslovnimi prihodki</w:t>
      </w:r>
      <w:r w:rsidR="000003BE" w:rsidRPr="00622601">
        <w:rPr>
          <w:rFonts w:ascii="Open Sans" w:hAnsi="Open Sans" w:cs="Open Sans"/>
          <w:sz w:val="20"/>
          <w:szCs w:val="20"/>
        </w:rPr>
        <w:t>, a se vsebinsko nanašajo na stroške dela</w:t>
      </w:r>
      <w:r w:rsidR="009C55DE" w:rsidRPr="00622601">
        <w:rPr>
          <w:rFonts w:ascii="Open Sans" w:hAnsi="Open Sans" w:cs="Open Sans"/>
          <w:sz w:val="20"/>
          <w:szCs w:val="20"/>
        </w:rPr>
        <w:t>.</w:t>
      </w:r>
      <w:r w:rsidR="009C55DE">
        <w:rPr>
          <w:rFonts w:ascii="Open Sans" w:hAnsi="Open Sans" w:cs="Open Sans"/>
          <w:sz w:val="20"/>
          <w:szCs w:val="20"/>
        </w:rPr>
        <w:t xml:space="preserve">   </w:t>
      </w:r>
    </w:p>
    <w:p w14:paraId="5BBFE6B4" w14:textId="1F217489" w:rsidR="00913E28" w:rsidRDefault="00FC6E38" w:rsidP="00924219">
      <w:pPr>
        <w:jc w:val="both"/>
        <w:rPr>
          <w:rFonts w:ascii="Open Sans" w:hAnsi="Open Sans" w:cs="Open Sans"/>
          <w:sz w:val="20"/>
          <w:szCs w:val="20"/>
        </w:rPr>
      </w:pPr>
      <w:r w:rsidRPr="00CB45D1">
        <w:rPr>
          <w:rFonts w:ascii="Open Sans" w:hAnsi="Open Sans" w:cs="Open Sans"/>
          <w:sz w:val="20"/>
          <w:szCs w:val="20"/>
        </w:rPr>
        <w:t xml:space="preserve">Za družbo NAMA </w:t>
      </w:r>
      <w:proofErr w:type="spellStart"/>
      <w:r w:rsidRPr="00CB45D1">
        <w:rPr>
          <w:rFonts w:ascii="Open Sans" w:hAnsi="Open Sans" w:cs="Open Sans"/>
          <w:sz w:val="20"/>
          <w:szCs w:val="20"/>
        </w:rPr>
        <w:t>d.d</w:t>
      </w:r>
      <w:proofErr w:type="spellEnd"/>
      <w:r w:rsidRPr="00CB45D1">
        <w:rPr>
          <w:rFonts w:ascii="Open Sans" w:hAnsi="Open Sans" w:cs="Open Sans"/>
          <w:sz w:val="20"/>
          <w:szCs w:val="20"/>
        </w:rPr>
        <w:t xml:space="preserve">. Ljubljana je značilna precejšnja sezonska komponenta poslovanja, in sicer tako pri obsegu prometa kot pri rezultatih poslovanja. Najuspešnejši del leta predstavljajo meseci od septembra do decembra. </w:t>
      </w:r>
    </w:p>
    <w:p w14:paraId="5BF18987" w14:textId="77777777" w:rsidR="00F56106" w:rsidRPr="008D521F" w:rsidRDefault="00F56106" w:rsidP="00924219">
      <w:pPr>
        <w:jc w:val="both"/>
        <w:rPr>
          <w:rFonts w:ascii="Open Sans" w:hAnsi="Open Sans" w:cs="Open Sans"/>
          <w:sz w:val="20"/>
          <w:szCs w:val="20"/>
        </w:rPr>
      </w:pPr>
    </w:p>
    <w:p w14:paraId="0B6B274C" w14:textId="6347E3B0" w:rsidR="0073641D" w:rsidRPr="00992E71" w:rsidRDefault="0073641D" w:rsidP="0073641D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Finančni položaj dr</w:t>
      </w:r>
      <w:r w:rsidR="00A92D7A">
        <w:rPr>
          <w:rFonts w:ascii="Open Sans" w:hAnsi="Open Sans" w:cs="Open Sans"/>
          <w:b/>
          <w:sz w:val="20"/>
          <w:szCs w:val="20"/>
        </w:rPr>
        <w:t xml:space="preserve">užbe NAMA </w:t>
      </w:r>
      <w:proofErr w:type="spellStart"/>
      <w:r w:rsidR="00A92D7A">
        <w:rPr>
          <w:rFonts w:ascii="Open Sans" w:hAnsi="Open Sans" w:cs="Open Sans"/>
          <w:b/>
          <w:sz w:val="20"/>
          <w:szCs w:val="20"/>
        </w:rPr>
        <w:t>d.d</w:t>
      </w:r>
      <w:proofErr w:type="spellEnd"/>
      <w:r w:rsidR="00A92D7A">
        <w:rPr>
          <w:rFonts w:ascii="Open Sans" w:hAnsi="Open Sans" w:cs="Open Sans"/>
          <w:b/>
          <w:sz w:val="20"/>
          <w:szCs w:val="20"/>
        </w:rPr>
        <w:t>. Ljubljana na 30.6</w:t>
      </w:r>
      <w:r w:rsidR="000F3A24">
        <w:rPr>
          <w:rFonts w:ascii="Open Sans" w:hAnsi="Open Sans" w:cs="Open Sans"/>
          <w:b/>
          <w:sz w:val="20"/>
          <w:szCs w:val="20"/>
        </w:rPr>
        <w:t>.2020</w:t>
      </w:r>
    </w:p>
    <w:p w14:paraId="28CF4070" w14:textId="62C1A0D7" w:rsidR="0073641D" w:rsidRPr="00992E71" w:rsidRDefault="00826FE0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Bilančna vsota družbe</w:t>
      </w:r>
      <w:r w:rsidR="00A92D7A">
        <w:rPr>
          <w:rFonts w:ascii="Open Sans" w:hAnsi="Open Sans" w:cs="Open Sans"/>
          <w:sz w:val="20"/>
          <w:szCs w:val="20"/>
        </w:rPr>
        <w:t xml:space="preserve"> na dan 30.6</w:t>
      </w:r>
      <w:r w:rsidR="000F3A24">
        <w:rPr>
          <w:rFonts w:ascii="Open Sans" w:hAnsi="Open Sans" w:cs="Open Sans"/>
          <w:sz w:val="20"/>
          <w:szCs w:val="20"/>
        </w:rPr>
        <w:t>.2020</w:t>
      </w:r>
      <w:r w:rsidR="00720B94" w:rsidRPr="00992E71">
        <w:rPr>
          <w:rFonts w:ascii="Open Sans" w:hAnsi="Open Sans" w:cs="Open Sans"/>
          <w:sz w:val="20"/>
          <w:szCs w:val="20"/>
        </w:rPr>
        <w:t xml:space="preserve"> </w:t>
      </w:r>
      <w:r w:rsidRPr="00992E71">
        <w:rPr>
          <w:rFonts w:ascii="Open Sans" w:hAnsi="Open Sans" w:cs="Open Sans"/>
          <w:sz w:val="20"/>
          <w:szCs w:val="20"/>
        </w:rPr>
        <w:t>znaša</w:t>
      </w:r>
      <w:r w:rsidR="00720B94" w:rsidRPr="00992E71">
        <w:rPr>
          <w:rFonts w:ascii="Open Sans" w:hAnsi="Open Sans" w:cs="Open Sans"/>
          <w:sz w:val="20"/>
          <w:szCs w:val="20"/>
        </w:rPr>
        <w:t xml:space="preserve"> </w:t>
      </w:r>
      <w:r w:rsidR="00A92D7A">
        <w:rPr>
          <w:rFonts w:ascii="Open Sans" w:hAnsi="Open Sans" w:cs="Open Sans"/>
          <w:sz w:val="20"/>
          <w:szCs w:val="20"/>
        </w:rPr>
        <w:t>15.190.806</w:t>
      </w:r>
      <w:r w:rsidR="00720B94" w:rsidRPr="00992E71">
        <w:rPr>
          <w:rFonts w:ascii="Open Sans" w:hAnsi="Open Sans" w:cs="Open Sans"/>
          <w:sz w:val="20"/>
          <w:szCs w:val="20"/>
        </w:rPr>
        <w:t xml:space="preserve"> EUR</w:t>
      </w:r>
      <w:r w:rsidR="004649B4">
        <w:rPr>
          <w:rFonts w:ascii="Open Sans" w:hAnsi="Open Sans" w:cs="Open Sans"/>
          <w:sz w:val="20"/>
          <w:szCs w:val="20"/>
        </w:rPr>
        <w:t xml:space="preserve"> in je za </w:t>
      </w:r>
      <w:r w:rsidR="00211D0F">
        <w:rPr>
          <w:rFonts w:ascii="Open Sans" w:hAnsi="Open Sans" w:cs="Open Sans"/>
          <w:sz w:val="20"/>
          <w:szCs w:val="20"/>
        </w:rPr>
        <w:t>4,9</w:t>
      </w:r>
      <w:r w:rsidR="00335089" w:rsidRPr="00051A8F">
        <w:rPr>
          <w:rFonts w:ascii="Open Sans" w:hAnsi="Open Sans" w:cs="Open Sans"/>
          <w:sz w:val="20"/>
          <w:szCs w:val="20"/>
        </w:rPr>
        <w:t xml:space="preserve">% </w:t>
      </w:r>
      <w:r w:rsidR="003C2070" w:rsidRPr="00051A8F">
        <w:rPr>
          <w:rFonts w:ascii="Open Sans" w:hAnsi="Open Sans" w:cs="Open Sans"/>
          <w:sz w:val="20"/>
          <w:szCs w:val="20"/>
        </w:rPr>
        <w:t>višja</w:t>
      </w:r>
      <w:r w:rsidR="00335089" w:rsidRPr="00992E71">
        <w:rPr>
          <w:rFonts w:ascii="Open Sans" w:hAnsi="Open Sans" w:cs="Open Sans"/>
          <w:sz w:val="20"/>
          <w:szCs w:val="20"/>
        </w:rPr>
        <w:t xml:space="preserve"> od bilančne v</w:t>
      </w:r>
      <w:r w:rsidR="000F3A24">
        <w:rPr>
          <w:rFonts w:ascii="Open Sans" w:hAnsi="Open Sans" w:cs="Open Sans"/>
          <w:sz w:val="20"/>
          <w:szCs w:val="20"/>
        </w:rPr>
        <w:t>sote, izkazane na dan 31.12.2019</w:t>
      </w:r>
      <w:r w:rsidR="00D40BD1">
        <w:rPr>
          <w:rFonts w:ascii="Open Sans" w:hAnsi="Open Sans" w:cs="Open Sans"/>
          <w:sz w:val="20"/>
          <w:szCs w:val="20"/>
        </w:rPr>
        <w:t>,</w:t>
      </w:r>
      <w:r w:rsidR="00F2451C">
        <w:rPr>
          <w:rFonts w:ascii="Open Sans" w:hAnsi="Open Sans" w:cs="Open Sans"/>
          <w:sz w:val="20"/>
          <w:szCs w:val="20"/>
        </w:rPr>
        <w:t xml:space="preserve"> ko je ta znašala</w:t>
      </w:r>
      <w:r w:rsidR="00F2451C" w:rsidRPr="00D14EF3">
        <w:rPr>
          <w:rFonts w:ascii="Open Sans" w:hAnsi="Open Sans" w:cs="Open Sans"/>
          <w:sz w:val="20"/>
          <w:szCs w:val="20"/>
        </w:rPr>
        <w:t xml:space="preserve"> </w:t>
      </w:r>
      <w:r w:rsidR="00D14EF3" w:rsidRPr="00D14EF3">
        <w:rPr>
          <w:rFonts w:ascii="Open Sans" w:hAnsi="Open Sans" w:cs="Open Sans"/>
          <w:sz w:val="20"/>
          <w:szCs w:val="20"/>
        </w:rPr>
        <w:t>14.474.729</w:t>
      </w:r>
      <w:r w:rsidR="00D14EF3">
        <w:rPr>
          <w:rFonts w:ascii="Open Sans" w:hAnsi="Open Sans" w:cs="Open Sans"/>
          <w:sz w:val="20"/>
          <w:szCs w:val="20"/>
        </w:rPr>
        <w:t xml:space="preserve"> EUR</w:t>
      </w:r>
      <w:r w:rsidR="000F3A24">
        <w:rPr>
          <w:rFonts w:ascii="Open Sans" w:hAnsi="Open Sans" w:cs="Open Sans"/>
          <w:sz w:val="20"/>
          <w:szCs w:val="20"/>
        </w:rPr>
        <w:t>.</w:t>
      </w:r>
    </w:p>
    <w:p w14:paraId="31E7DA83" w14:textId="260FE05B" w:rsidR="00C83696" w:rsidRPr="002C5665" w:rsidRDefault="00C83696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Največji del sredstev družbe se nanaša na opredmetena osnovna sredstva in naložbene nepremič</w:t>
      </w:r>
      <w:r w:rsidR="00E16976">
        <w:rPr>
          <w:rFonts w:ascii="Open Sans" w:hAnsi="Open Sans" w:cs="Open Sans"/>
          <w:sz w:val="20"/>
          <w:szCs w:val="20"/>
        </w:rPr>
        <w:t xml:space="preserve">nine, ki skupaj predstavljajo </w:t>
      </w:r>
      <w:r w:rsidR="00A82FB7">
        <w:rPr>
          <w:rFonts w:ascii="Open Sans" w:hAnsi="Open Sans" w:cs="Open Sans"/>
          <w:sz w:val="20"/>
          <w:szCs w:val="20"/>
        </w:rPr>
        <w:t>46</w:t>
      </w:r>
      <w:r w:rsidR="00AD2DCD">
        <w:rPr>
          <w:rFonts w:ascii="Open Sans" w:hAnsi="Open Sans" w:cs="Open Sans"/>
          <w:sz w:val="20"/>
          <w:szCs w:val="20"/>
        </w:rPr>
        <w:t>,4</w:t>
      </w:r>
      <w:r w:rsidR="0053403B">
        <w:rPr>
          <w:rFonts w:ascii="Open Sans" w:hAnsi="Open Sans" w:cs="Open Sans"/>
          <w:sz w:val="20"/>
          <w:szCs w:val="20"/>
        </w:rPr>
        <w:t>%</w:t>
      </w:r>
      <w:r w:rsidR="00055128">
        <w:rPr>
          <w:rFonts w:ascii="Open Sans" w:hAnsi="Open Sans" w:cs="Open Sans"/>
          <w:sz w:val="20"/>
          <w:szCs w:val="20"/>
        </w:rPr>
        <w:t xml:space="preserve"> bilančne vsote (31.12.2019: 46</w:t>
      </w:r>
      <w:r w:rsidR="00367465">
        <w:rPr>
          <w:rFonts w:ascii="Open Sans" w:hAnsi="Open Sans" w:cs="Open Sans"/>
          <w:sz w:val="20"/>
          <w:szCs w:val="20"/>
        </w:rPr>
        <w:t>,0</w:t>
      </w:r>
      <w:r w:rsidRPr="00992E71">
        <w:rPr>
          <w:rFonts w:ascii="Open Sans" w:hAnsi="Open Sans" w:cs="Open Sans"/>
          <w:sz w:val="20"/>
          <w:szCs w:val="20"/>
        </w:rPr>
        <w:t xml:space="preserve">%). </w:t>
      </w:r>
      <w:r w:rsidR="00222042" w:rsidRPr="002C5665">
        <w:rPr>
          <w:rFonts w:ascii="Open Sans" w:hAnsi="Open Sans" w:cs="Open Sans"/>
          <w:sz w:val="20"/>
          <w:szCs w:val="20"/>
        </w:rPr>
        <w:t xml:space="preserve">Višina opredmetenih osnovnih sredstev in naložbenih nepremičnin se </w:t>
      </w:r>
      <w:r w:rsidR="00026EB9">
        <w:rPr>
          <w:rFonts w:ascii="Open Sans" w:hAnsi="Open Sans" w:cs="Open Sans"/>
          <w:sz w:val="20"/>
          <w:szCs w:val="20"/>
        </w:rPr>
        <w:t>je v prvem</w:t>
      </w:r>
      <w:r w:rsidR="00222042" w:rsidRPr="002C5665">
        <w:rPr>
          <w:rFonts w:ascii="Open Sans" w:hAnsi="Open Sans" w:cs="Open Sans"/>
          <w:sz w:val="20"/>
          <w:szCs w:val="20"/>
        </w:rPr>
        <w:t xml:space="preserve"> </w:t>
      </w:r>
      <w:r w:rsidR="00026EB9">
        <w:rPr>
          <w:rFonts w:ascii="Open Sans" w:hAnsi="Open Sans" w:cs="Open Sans"/>
          <w:sz w:val="20"/>
          <w:szCs w:val="20"/>
        </w:rPr>
        <w:t>polletju</w:t>
      </w:r>
      <w:r w:rsidR="00222042" w:rsidRPr="002C5665">
        <w:rPr>
          <w:rFonts w:ascii="Open Sans" w:hAnsi="Open Sans" w:cs="Open Sans"/>
          <w:sz w:val="20"/>
          <w:szCs w:val="20"/>
        </w:rPr>
        <w:t xml:space="preserve"> leta 2020 </w:t>
      </w:r>
      <w:r w:rsidR="00026EB9">
        <w:rPr>
          <w:rFonts w:ascii="Open Sans" w:hAnsi="Open Sans" w:cs="Open Sans"/>
          <w:sz w:val="20"/>
          <w:szCs w:val="20"/>
        </w:rPr>
        <w:t>zvišala za 5,7%</w:t>
      </w:r>
      <w:r w:rsidR="00222042" w:rsidRPr="002C5665">
        <w:rPr>
          <w:rFonts w:ascii="Open Sans" w:hAnsi="Open Sans" w:cs="Open Sans"/>
          <w:sz w:val="20"/>
          <w:szCs w:val="20"/>
        </w:rPr>
        <w:t>.</w:t>
      </w:r>
    </w:p>
    <w:p w14:paraId="26B6948E" w14:textId="32DCCBC6" w:rsidR="00BB42F2" w:rsidRPr="00992E71" w:rsidRDefault="005C6DCC" w:rsidP="0073641D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27,9</w:t>
      </w:r>
      <w:r w:rsidR="00A5176F" w:rsidRPr="00992E71">
        <w:rPr>
          <w:rFonts w:ascii="Open Sans" w:hAnsi="Open Sans" w:cs="Open Sans"/>
          <w:sz w:val="20"/>
          <w:szCs w:val="20"/>
        </w:rPr>
        <w:t>% sredstev družbe predstavlj</w:t>
      </w:r>
      <w:r w:rsidR="00094741">
        <w:rPr>
          <w:rFonts w:ascii="Open Sans" w:hAnsi="Open Sans" w:cs="Open Sans"/>
          <w:sz w:val="20"/>
          <w:szCs w:val="20"/>
        </w:rPr>
        <w:t>ajo finančne naložbe</w:t>
      </w:r>
      <w:r w:rsidR="0053403B">
        <w:rPr>
          <w:rFonts w:ascii="Open Sans" w:hAnsi="Open Sans" w:cs="Open Sans"/>
          <w:sz w:val="20"/>
          <w:szCs w:val="20"/>
        </w:rPr>
        <w:t xml:space="preserve"> in denarna sre</w:t>
      </w:r>
      <w:r w:rsidR="00895EBC">
        <w:rPr>
          <w:rFonts w:ascii="Open Sans" w:hAnsi="Open Sans" w:cs="Open Sans"/>
          <w:sz w:val="20"/>
          <w:szCs w:val="20"/>
        </w:rPr>
        <w:t>dstva, ki na 30.6</w:t>
      </w:r>
      <w:r w:rsidR="0053403B">
        <w:rPr>
          <w:rFonts w:ascii="Open Sans" w:hAnsi="Open Sans" w:cs="Open Sans"/>
          <w:sz w:val="20"/>
          <w:szCs w:val="20"/>
        </w:rPr>
        <w:t>.2020</w:t>
      </w:r>
      <w:r w:rsidR="00A5176F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895EBC">
        <w:rPr>
          <w:rFonts w:ascii="Open Sans" w:hAnsi="Open Sans" w:cs="Open Sans"/>
          <w:sz w:val="20"/>
          <w:szCs w:val="20"/>
        </w:rPr>
        <w:t>4.238.381</w:t>
      </w:r>
      <w:r w:rsidR="0053403B">
        <w:rPr>
          <w:rFonts w:ascii="Open Sans" w:hAnsi="Open Sans" w:cs="Open Sans"/>
          <w:sz w:val="20"/>
          <w:szCs w:val="20"/>
        </w:rPr>
        <w:t xml:space="preserve"> EUR (31.12.2019</w:t>
      </w:r>
      <w:r w:rsidR="00A5176F" w:rsidRPr="00992E71">
        <w:rPr>
          <w:rFonts w:ascii="Open Sans" w:hAnsi="Open Sans" w:cs="Open Sans"/>
          <w:sz w:val="20"/>
          <w:szCs w:val="20"/>
        </w:rPr>
        <w:t xml:space="preserve">: </w:t>
      </w:r>
      <w:r w:rsidR="00CA2840">
        <w:rPr>
          <w:rFonts w:ascii="Open Sans" w:hAnsi="Open Sans" w:cs="Open Sans"/>
          <w:sz w:val="20"/>
          <w:szCs w:val="20"/>
        </w:rPr>
        <w:t>4.641.474</w:t>
      </w:r>
      <w:r w:rsidR="00A5176F" w:rsidRPr="00992E71">
        <w:rPr>
          <w:rFonts w:ascii="Open Sans" w:hAnsi="Open Sans" w:cs="Open Sans"/>
          <w:sz w:val="20"/>
          <w:szCs w:val="20"/>
        </w:rPr>
        <w:t xml:space="preserve"> EUR). </w:t>
      </w:r>
    </w:p>
    <w:p w14:paraId="456DD192" w14:textId="138ADF20" w:rsidR="005E21DA" w:rsidRPr="00992E71" w:rsidRDefault="00494CCA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lastRenderedPageBreak/>
        <w:t>Vrednost zalog</w:t>
      </w:r>
      <w:r w:rsidR="00976120" w:rsidRPr="00992E71">
        <w:rPr>
          <w:rFonts w:ascii="Open Sans" w:hAnsi="Open Sans" w:cs="Open Sans"/>
          <w:sz w:val="20"/>
          <w:szCs w:val="20"/>
        </w:rPr>
        <w:t xml:space="preserve"> trgovskega blaga </w:t>
      </w:r>
      <w:r w:rsidR="000C3FD8">
        <w:rPr>
          <w:rFonts w:ascii="Open Sans" w:hAnsi="Open Sans" w:cs="Open Sans"/>
          <w:sz w:val="20"/>
          <w:szCs w:val="20"/>
        </w:rPr>
        <w:t>na 30.6</w:t>
      </w:r>
      <w:r w:rsidR="00B72615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znaša</w:t>
      </w:r>
      <w:r w:rsidRPr="00C72200">
        <w:rPr>
          <w:rFonts w:ascii="Open Sans" w:hAnsi="Open Sans" w:cs="Open Sans"/>
          <w:sz w:val="20"/>
          <w:szCs w:val="20"/>
        </w:rPr>
        <w:t xml:space="preserve"> </w:t>
      </w:r>
      <w:r w:rsidR="000C3FD8">
        <w:rPr>
          <w:rFonts w:ascii="Open Sans" w:hAnsi="Open Sans" w:cs="Open Sans"/>
          <w:sz w:val="20"/>
          <w:szCs w:val="20"/>
        </w:rPr>
        <w:t>2.664.189</w:t>
      </w:r>
      <w:r w:rsidRPr="00992E71">
        <w:rPr>
          <w:rFonts w:ascii="Open Sans" w:hAnsi="Open Sans" w:cs="Open Sans"/>
          <w:sz w:val="20"/>
          <w:szCs w:val="20"/>
        </w:rPr>
        <w:t xml:space="preserve"> EUR in j</w:t>
      </w:r>
      <w:r w:rsidR="00225AB5">
        <w:rPr>
          <w:rFonts w:ascii="Open Sans" w:hAnsi="Open Sans" w:cs="Open Sans"/>
          <w:sz w:val="20"/>
          <w:szCs w:val="20"/>
        </w:rPr>
        <w:t xml:space="preserve">e za </w:t>
      </w:r>
      <w:r w:rsidR="000C3FD8">
        <w:rPr>
          <w:rFonts w:ascii="Open Sans" w:hAnsi="Open Sans" w:cs="Open Sans"/>
          <w:sz w:val="20"/>
          <w:szCs w:val="20"/>
        </w:rPr>
        <w:t>18,6</w:t>
      </w:r>
      <w:r w:rsidR="006462EA" w:rsidRPr="00C25C76">
        <w:rPr>
          <w:rFonts w:ascii="Open Sans" w:hAnsi="Open Sans" w:cs="Open Sans"/>
          <w:sz w:val="20"/>
          <w:szCs w:val="20"/>
        </w:rPr>
        <w:t xml:space="preserve">% </w:t>
      </w:r>
      <w:r w:rsidR="001C42FF">
        <w:rPr>
          <w:rFonts w:ascii="Open Sans" w:hAnsi="Open Sans" w:cs="Open Sans"/>
          <w:sz w:val="20"/>
          <w:szCs w:val="20"/>
        </w:rPr>
        <w:t>višja</w:t>
      </w:r>
      <w:r w:rsidR="00225AB5" w:rsidRPr="00C25C76">
        <w:rPr>
          <w:rFonts w:ascii="Open Sans" w:hAnsi="Open Sans" w:cs="Open Sans"/>
          <w:sz w:val="20"/>
          <w:szCs w:val="20"/>
        </w:rPr>
        <w:t xml:space="preserve"> </w:t>
      </w:r>
      <w:r w:rsidR="00B72615">
        <w:rPr>
          <w:rFonts w:ascii="Open Sans" w:hAnsi="Open Sans" w:cs="Open Sans"/>
          <w:sz w:val="20"/>
          <w:szCs w:val="20"/>
        </w:rPr>
        <w:t>kot na 31.12.2019</w:t>
      </w:r>
      <w:r w:rsidR="006462EA" w:rsidRPr="00992E71">
        <w:rPr>
          <w:rFonts w:ascii="Open Sans" w:hAnsi="Open Sans" w:cs="Open Sans"/>
          <w:sz w:val="20"/>
          <w:szCs w:val="20"/>
        </w:rPr>
        <w:t xml:space="preserve">, ko je znašala </w:t>
      </w:r>
      <w:r w:rsidR="009B3D13" w:rsidRPr="009B3D13">
        <w:rPr>
          <w:rFonts w:ascii="Open Sans" w:hAnsi="Open Sans" w:cs="Open Sans"/>
          <w:sz w:val="20"/>
          <w:szCs w:val="20"/>
        </w:rPr>
        <w:t>2.247.227</w:t>
      </w:r>
      <w:r w:rsidR="006462EA" w:rsidRPr="00992E71">
        <w:rPr>
          <w:rFonts w:ascii="Open Sans" w:hAnsi="Open Sans" w:cs="Open Sans"/>
          <w:sz w:val="20"/>
          <w:szCs w:val="20"/>
        </w:rPr>
        <w:t xml:space="preserve"> EUR.</w:t>
      </w:r>
      <w:r w:rsidR="00237F4F">
        <w:rPr>
          <w:rFonts w:ascii="Open Sans" w:hAnsi="Open Sans" w:cs="Open Sans"/>
          <w:sz w:val="20"/>
          <w:szCs w:val="20"/>
        </w:rPr>
        <w:t xml:space="preserve"> </w:t>
      </w:r>
      <w:r w:rsidR="00411651">
        <w:rPr>
          <w:rFonts w:ascii="Open Sans" w:hAnsi="Open Sans" w:cs="Open Sans"/>
          <w:sz w:val="20"/>
          <w:szCs w:val="20"/>
        </w:rPr>
        <w:t>Z</w:t>
      </w:r>
      <w:r w:rsidR="00962DEF">
        <w:rPr>
          <w:rFonts w:ascii="Open Sans" w:hAnsi="Open Sans" w:cs="Open Sans"/>
          <w:sz w:val="20"/>
          <w:szCs w:val="20"/>
        </w:rPr>
        <w:t>višanje zalog</w:t>
      </w:r>
      <w:r w:rsidR="00DD18F4" w:rsidRPr="00992E71">
        <w:rPr>
          <w:rFonts w:ascii="Open Sans" w:hAnsi="Open Sans" w:cs="Open Sans"/>
          <w:sz w:val="20"/>
          <w:szCs w:val="20"/>
        </w:rPr>
        <w:t xml:space="preserve"> je </w:t>
      </w:r>
      <w:r w:rsidR="00A635BC">
        <w:rPr>
          <w:rFonts w:ascii="Open Sans" w:hAnsi="Open Sans" w:cs="Open Sans"/>
          <w:sz w:val="20"/>
          <w:szCs w:val="20"/>
        </w:rPr>
        <w:t>v veliki meri</w:t>
      </w:r>
      <w:r w:rsidR="00411651">
        <w:rPr>
          <w:rFonts w:ascii="Open Sans" w:hAnsi="Open Sans" w:cs="Open Sans"/>
          <w:sz w:val="20"/>
          <w:szCs w:val="20"/>
        </w:rPr>
        <w:t xml:space="preserve"> </w:t>
      </w:r>
      <w:r w:rsidR="00070EAC" w:rsidRPr="00992E71">
        <w:rPr>
          <w:rFonts w:ascii="Open Sans" w:hAnsi="Open Sans" w:cs="Open Sans"/>
          <w:sz w:val="20"/>
          <w:szCs w:val="20"/>
        </w:rPr>
        <w:t xml:space="preserve">posledica </w:t>
      </w:r>
      <w:r w:rsidR="00794DAF" w:rsidRPr="00455104">
        <w:rPr>
          <w:rFonts w:ascii="Open Sans" w:hAnsi="Open Sans" w:cs="Open Sans"/>
          <w:sz w:val="20"/>
          <w:szCs w:val="20"/>
        </w:rPr>
        <w:t xml:space="preserve">zaprtja </w:t>
      </w:r>
      <w:r w:rsidR="00F002EC" w:rsidRPr="00455104">
        <w:rPr>
          <w:rFonts w:ascii="Open Sans" w:hAnsi="Open Sans" w:cs="Open Sans"/>
          <w:sz w:val="20"/>
          <w:szCs w:val="20"/>
        </w:rPr>
        <w:t>oziroma ne</w:t>
      </w:r>
      <w:r w:rsidR="002C5665">
        <w:rPr>
          <w:rFonts w:ascii="Open Sans" w:hAnsi="Open Sans" w:cs="Open Sans"/>
          <w:sz w:val="20"/>
          <w:szCs w:val="20"/>
        </w:rPr>
        <w:t xml:space="preserve"> </w:t>
      </w:r>
      <w:r w:rsidR="00F002EC" w:rsidRPr="00455104">
        <w:rPr>
          <w:rFonts w:ascii="Open Sans" w:hAnsi="Open Sans" w:cs="Open Sans"/>
          <w:sz w:val="20"/>
          <w:szCs w:val="20"/>
        </w:rPr>
        <w:t xml:space="preserve">poslovanja </w:t>
      </w:r>
      <w:r w:rsidR="00794DAF" w:rsidRPr="00455104">
        <w:rPr>
          <w:rFonts w:ascii="Open Sans" w:hAnsi="Open Sans" w:cs="Open Sans"/>
          <w:sz w:val="20"/>
          <w:szCs w:val="20"/>
        </w:rPr>
        <w:t>maloprodajnih enot</w:t>
      </w:r>
      <w:r w:rsidR="00411651" w:rsidRPr="00455104">
        <w:rPr>
          <w:rFonts w:ascii="Open Sans" w:hAnsi="Open Sans" w:cs="Open Sans"/>
          <w:sz w:val="20"/>
          <w:szCs w:val="20"/>
        </w:rPr>
        <w:t xml:space="preserve">, delno pa tudi </w:t>
      </w:r>
      <w:r w:rsidR="00A635BC">
        <w:rPr>
          <w:rFonts w:ascii="Open Sans" w:hAnsi="Open Sans" w:cs="Open Sans"/>
          <w:sz w:val="20"/>
          <w:szCs w:val="20"/>
        </w:rPr>
        <w:t xml:space="preserve">posledica </w:t>
      </w:r>
      <w:r w:rsidR="00411651">
        <w:rPr>
          <w:rFonts w:ascii="Open Sans" w:hAnsi="Open Sans" w:cs="Open Sans"/>
          <w:sz w:val="20"/>
          <w:szCs w:val="20"/>
        </w:rPr>
        <w:t xml:space="preserve">cikličnosti poslovanja. </w:t>
      </w:r>
      <w:r w:rsidR="00CA2A0A">
        <w:rPr>
          <w:rFonts w:ascii="Open Sans" w:hAnsi="Open Sans" w:cs="Open Sans"/>
          <w:sz w:val="20"/>
          <w:szCs w:val="20"/>
        </w:rPr>
        <w:t>Na 30.6</w:t>
      </w:r>
      <w:r w:rsidR="00B72615">
        <w:rPr>
          <w:rFonts w:ascii="Open Sans" w:hAnsi="Open Sans" w:cs="Open Sans"/>
          <w:sz w:val="20"/>
          <w:szCs w:val="20"/>
        </w:rPr>
        <w:t>.2019</w:t>
      </w:r>
      <w:r w:rsidR="00411651">
        <w:rPr>
          <w:rFonts w:ascii="Open Sans" w:hAnsi="Open Sans" w:cs="Open Sans"/>
          <w:sz w:val="20"/>
          <w:szCs w:val="20"/>
        </w:rPr>
        <w:t xml:space="preserve"> je vrednost zalog trgovskega blaga znašala </w:t>
      </w:r>
      <w:r w:rsidR="00CA2A0A">
        <w:rPr>
          <w:rFonts w:ascii="Open Sans" w:hAnsi="Open Sans" w:cs="Open Sans"/>
          <w:sz w:val="20"/>
          <w:szCs w:val="20"/>
        </w:rPr>
        <w:t>2.261.286</w:t>
      </w:r>
      <w:r w:rsidR="00411651">
        <w:rPr>
          <w:rFonts w:ascii="Open Sans" w:hAnsi="Open Sans" w:cs="Open Sans"/>
          <w:sz w:val="20"/>
          <w:szCs w:val="20"/>
        </w:rPr>
        <w:t xml:space="preserve"> EUR.</w:t>
      </w:r>
    </w:p>
    <w:p w14:paraId="210D9A8B" w14:textId="2B7EE9A6" w:rsidR="007F3EB5" w:rsidRPr="00B424AA" w:rsidRDefault="007F3EB5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Ostala sredstva družbe se </w:t>
      </w:r>
      <w:r w:rsidRPr="00B424AA">
        <w:rPr>
          <w:rFonts w:ascii="Open Sans" w:hAnsi="Open Sans" w:cs="Open Sans"/>
          <w:sz w:val="20"/>
          <w:szCs w:val="20"/>
        </w:rPr>
        <w:t>nanašajo predvsem na poslovne</w:t>
      </w:r>
      <w:r w:rsidR="00F64A4A" w:rsidRPr="00B424AA">
        <w:rPr>
          <w:rFonts w:ascii="Open Sans" w:hAnsi="Open Sans" w:cs="Open Sans"/>
          <w:sz w:val="20"/>
          <w:szCs w:val="20"/>
        </w:rPr>
        <w:t xml:space="preserve"> terj</w:t>
      </w:r>
      <w:r w:rsidR="006E01CD" w:rsidRPr="00B424AA">
        <w:rPr>
          <w:rFonts w:ascii="Open Sans" w:hAnsi="Open Sans" w:cs="Open Sans"/>
          <w:sz w:val="20"/>
          <w:szCs w:val="20"/>
        </w:rPr>
        <w:t>atve, ki na dan 30</w:t>
      </w:r>
      <w:r w:rsidR="00DC7337" w:rsidRPr="001A4A3C">
        <w:rPr>
          <w:rFonts w:ascii="Open Sans" w:hAnsi="Open Sans" w:cs="Open Sans"/>
          <w:sz w:val="20"/>
          <w:szCs w:val="20"/>
        </w:rPr>
        <w:t>.</w:t>
      </w:r>
      <w:r w:rsidR="006E01CD" w:rsidRPr="00B424AA">
        <w:rPr>
          <w:rFonts w:ascii="Open Sans" w:hAnsi="Open Sans" w:cs="Open Sans"/>
          <w:sz w:val="20"/>
          <w:szCs w:val="20"/>
        </w:rPr>
        <w:t>6</w:t>
      </w:r>
      <w:r w:rsidR="00000973" w:rsidRPr="00B424AA">
        <w:rPr>
          <w:rFonts w:ascii="Open Sans" w:hAnsi="Open Sans" w:cs="Open Sans"/>
          <w:sz w:val="20"/>
          <w:szCs w:val="20"/>
        </w:rPr>
        <w:t>.2020</w:t>
      </w:r>
      <w:r w:rsidR="00183B7B" w:rsidRPr="00B424AA">
        <w:rPr>
          <w:rFonts w:ascii="Open Sans" w:hAnsi="Open Sans" w:cs="Open Sans"/>
          <w:sz w:val="20"/>
          <w:szCs w:val="20"/>
        </w:rPr>
        <w:t xml:space="preserve"> znašajo </w:t>
      </w:r>
      <w:r w:rsidR="00C62AD4" w:rsidRPr="00B424AA">
        <w:rPr>
          <w:rFonts w:ascii="Open Sans" w:hAnsi="Open Sans" w:cs="Open Sans"/>
          <w:sz w:val="20"/>
          <w:szCs w:val="20"/>
        </w:rPr>
        <w:t xml:space="preserve"> </w:t>
      </w:r>
      <w:r w:rsidR="006E01CD" w:rsidRPr="00B424AA">
        <w:rPr>
          <w:rFonts w:ascii="Open Sans" w:hAnsi="Open Sans" w:cs="Open Sans"/>
          <w:sz w:val="20"/>
          <w:szCs w:val="20"/>
        </w:rPr>
        <w:t>1.085.945</w:t>
      </w:r>
      <w:r w:rsidR="00C336EC" w:rsidRPr="00B424AA">
        <w:rPr>
          <w:rFonts w:ascii="Open Sans" w:hAnsi="Open Sans" w:cs="Open Sans"/>
          <w:sz w:val="20"/>
          <w:szCs w:val="20"/>
        </w:rPr>
        <w:t xml:space="preserve"> </w:t>
      </w:r>
      <w:r w:rsidR="00000973" w:rsidRPr="00B424AA">
        <w:rPr>
          <w:rFonts w:ascii="Open Sans" w:hAnsi="Open Sans" w:cs="Open Sans"/>
          <w:sz w:val="20"/>
          <w:szCs w:val="20"/>
        </w:rPr>
        <w:t>EUR (31.12.2019</w:t>
      </w:r>
      <w:r w:rsidRPr="00B424AA">
        <w:rPr>
          <w:rFonts w:ascii="Open Sans" w:hAnsi="Open Sans" w:cs="Open Sans"/>
          <w:sz w:val="20"/>
          <w:szCs w:val="20"/>
        </w:rPr>
        <w:t xml:space="preserve">: </w:t>
      </w:r>
      <w:r w:rsidR="003D5076" w:rsidRPr="00B424AA">
        <w:rPr>
          <w:rFonts w:ascii="Open Sans" w:hAnsi="Open Sans" w:cs="Open Sans"/>
          <w:sz w:val="20"/>
          <w:szCs w:val="20"/>
        </w:rPr>
        <w:t>735.655</w:t>
      </w:r>
      <w:r w:rsidRPr="00B424AA">
        <w:rPr>
          <w:rFonts w:ascii="Open Sans" w:hAnsi="Open Sans" w:cs="Open Sans"/>
          <w:sz w:val="20"/>
          <w:szCs w:val="20"/>
        </w:rPr>
        <w:t xml:space="preserve"> EUR).</w:t>
      </w:r>
      <w:r w:rsidR="00007520" w:rsidRPr="00B424AA">
        <w:rPr>
          <w:rFonts w:ascii="Open Sans" w:hAnsi="Open Sans" w:cs="Open Sans"/>
          <w:sz w:val="20"/>
          <w:szCs w:val="20"/>
        </w:rPr>
        <w:t xml:space="preserve"> </w:t>
      </w:r>
      <w:r w:rsidR="00692520" w:rsidRPr="008958FE">
        <w:rPr>
          <w:rFonts w:ascii="Open Sans" w:hAnsi="Open Sans" w:cs="Open Sans"/>
          <w:sz w:val="20"/>
          <w:szCs w:val="20"/>
        </w:rPr>
        <w:t xml:space="preserve">Povečanje poslovnih terjatev je v veliki meri posledica dogovorov z najemniki o zamikih plačil najemnin za tiste, ki jih je epidemija </w:t>
      </w:r>
      <w:proofErr w:type="spellStart"/>
      <w:r w:rsidR="00692520" w:rsidRPr="008958FE">
        <w:rPr>
          <w:rFonts w:ascii="Open Sans" w:hAnsi="Open Sans" w:cs="Open Sans"/>
          <w:sz w:val="20"/>
          <w:szCs w:val="20"/>
        </w:rPr>
        <w:t>Covid</w:t>
      </w:r>
      <w:proofErr w:type="spellEnd"/>
      <w:r w:rsidR="00692520" w:rsidRPr="008958FE">
        <w:rPr>
          <w:rFonts w:ascii="Open Sans" w:hAnsi="Open Sans" w:cs="Open Sans"/>
          <w:sz w:val="20"/>
          <w:szCs w:val="20"/>
        </w:rPr>
        <w:t xml:space="preserve"> 19 najbolj prizadela. </w:t>
      </w:r>
      <w:r w:rsidR="004F7AF9" w:rsidRPr="008958FE">
        <w:rPr>
          <w:rFonts w:ascii="Open Sans" w:hAnsi="Open Sans" w:cs="Open Sans"/>
          <w:sz w:val="20"/>
          <w:szCs w:val="20"/>
        </w:rPr>
        <w:t>Poleg terjatev do najemnikov so se povečale tudi terjatve do države ter dani predujmi dobaviteljem za blago.</w:t>
      </w:r>
    </w:p>
    <w:p w14:paraId="21EE8B6F" w14:textId="792AEBAC" w:rsidR="00C74E1A" w:rsidRPr="00992E71" w:rsidRDefault="00C51512" w:rsidP="0073641D">
      <w:pPr>
        <w:jc w:val="both"/>
        <w:rPr>
          <w:rFonts w:ascii="Open Sans" w:hAnsi="Open Sans" w:cs="Open Sans"/>
          <w:sz w:val="20"/>
          <w:szCs w:val="20"/>
        </w:rPr>
      </w:pPr>
      <w:r w:rsidRPr="001A4A3C">
        <w:rPr>
          <w:rFonts w:ascii="Open Sans" w:hAnsi="Open Sans" w:cs="Open Sans"/>
          <w:sz w:val="20"/>
          <w:szCs w:val="20"/>
        </w:rPr>
        <w:t>74</w:t>
      </w:r>
      <w:r w:rsidR="00B27ADE" w:rsidRPr="00B424AA">
        <w:rPr>
          <w:rFonts w:ascii="Open Sans" w:hAnsi="Open Sans" w:cs="Open Sans"/>
          <w:sz w:val="20"/>
          <w:szCs w:val="20"/>
        </w:rPr>
        <w:t>,0</w:t>
      </w:r>
      <w:r w:rsidR="00C74E1A" w:rsidRPr="00B424AA">
        <w:rPr>
          <w:rFonts w:ascii="Open Sans" w:hAnsi="Open Sans" w:cs="Open Sans"/>
          <w:sz w:val="20"/>
          <w:szCs w:val="20"/>
        </w:rPr>
        <w:t>% sredstev družbe je financiranih iz</w:t>
      </w:r>
      <w:r w:rsidR="00C74E1A" w:rsidRPr="00992E71">
        <w:rPr>
          <w:rFonts w:ascii="Open Sans" w:hAnsi="Open Sans" w:cs="Open Sans"/>
          <w:sz w:val="20"/>
          <w:szCs w:val="20"/>
        </w:rPr>
        <w:t xml:space="preserve"> lastniškega kapitala. </w:t>
      </w:r>
      <w:r w:rsidR="00CE6337" w:rsidRPr="00992E71">
        <w:rPr>
          <w:rFonts w:ascii="Open Sans" w:hAnsi="Open Sans" w:cs="Open Sans"/>
          <w:sz w:val="20"/>
          <w:szCs w:val="20"/>
        </w:rPr>
        <w:t>Družba svojega poslovanj</w:t>
      </w:r>
      <w:r w:rsidR="00A31E4B">
        <w:rPr>
          <w:rFonts w:ascii="Open Sans" w:hAnsi="Open Sans" w:cs="Open Sans"/>
          <w:sz w:val="20"/>
          <w:szCs w:val="20"/>
        </w:rPr>
        <w:t>a ne financira z zadolževanjem</w:t>
      </w:r>
      <w:r w:rsidR="00863F38">
        <w:rPr>
          <w:rFonts w:ascii="Open Sans" w:hAnsi="Open Sans" w:cs="Open Sans"/>
          <w:sz w:val="20"/>
          <w:szCs w:val="20"/>
        </w:rPr>
        <w:t xml:space="preserve">, ima pa v </w:t>
      </w:r>
      <w:r w:rsidR="00386BB8">
        <w:rPr>
          <w:rFonts w:ascii="Open Sans" w:hAnsi="Open Sans" w:cs="Open Sans"/>
          <w:sz w:val="20"/>
          <w:szCs w:val="20"/>
        </w:rPr>
        <w:t xml:space="preserve">dolgoročnem </w:t>
      </w:r>
      <w:r w:rsidR="00863F38">
        <w:rPr>
          <w:rFonts w:ascii="Open Sans" w:hAnsi="Open Sans" w:cs="Open Sans"/>
          <w:sz w:val="20"/>
          <w:szCs w:val="20"/>
        </w:rPr>
        <w:t>najemu del poslovnih prostorov, v katerih opravlja svojo dejavnost</w:t>
      </w:r>
      <w:r w:rsidR="00A31E4B">
        <w:rPr>
          <w:rFonts w:ascii="Open Sans" w:hAnsi="Open Sans" w:cs="Open Sans"/>
          <w:sz w:val="20"/>
          <w:szCs w:val="20"/>
        </w:rPr>
        <w:t>.</w:t>
      </w:r>
      <w:r w:rsidR="00F87C2D">
        <w:rPr>
          <w:rFonts w:ascii="Open Sans" w:hAnsi="Open Sans" w:cs="Open Sans"/>
          <w:sz w:val="20"/>
          <w:szCs w:val="20"/>
        </w:rPr>
        <w:t xml:space="preserve"> Finančne o</w:t>
      </w:r>
      <w:r w:rsidR="001D0FB8">
        <w:rPr>
          <w:rFonts w:ascii="Open Sans" w:hAnsi="Open Sans" w:cs="Open Sans"/>
          <w:sz w:val="20"/>
          <w:szCs w:val="20"/>
        </w:rPr>
        <w:t>b</w:t>
      </w:r>
      <w:r>
        <w:rPr>
          <w:rFonts w:ascii="Open Sans" w:hAnsi="Open Sans" w:cs="Open Sans"/>
          <w:sz w:val="20"/>
          <w:szCs w:val="20"/>
        </w:rPr>
        <w:t>veznosti iz tega naslova na 30.6</w:t>
      </w:r>
      <w:r w:rsidR="00000973">
        <w:rPr>
          <w:rFonts w:ascii="Open Sans" w:hAnsi="Open Sans" w:cs="Open Sans"/>
          <w:sz w:val="20"/>
          <w:szCs w:val="20"/>
        </w:rPr>
        <w:t>.2020</w:t>
      </w:r>
      <w:r w:rsidR="001D0FB8">
        <w:rPr>
          <w:rFonts w:ascii="Open Sans" w:hAnsi="Open Sans" w:cs="Open Sans"/>
          <w:sz w:val="20"/>
          <w:szCs w:val="20"/>
        </w:rPr>
        <w:t xml:space="preserve"> znašajo </w:t>
      </w:r>
      <w:r>
        <w:rPr>
          <w:rFonts w:ascii="Open Sans" w:hAnsi="Open Sans" w:cs="Open Sans"/>
          <w:sz w:val="20"/>
          <w:szCs w:val="20"/>
        </w:rPr>
        <w:t>1.604.962</w:t>
      </w:r>
      <w:r w:rsidR="001D0FB8" w:rsidRPr="00F32266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="001D0FB8">
        <w:rPr>
          <w:rFonts w:ascii="Open Sans" w:hAnsi="Open Sans" w:cs="Open Sans"/>
          <w:sz w:val="20"/>
          <w:szCs w:val="20"/>
        </w:rPr>
        <w:t>EUR</w:t>
      </w:r>
      <w:r w:rsidR="00000973">
        <w:rPr>
          <w:rFonts w:ascii="Open Sans" w:hAnsi="Open Sans" w:cs="Open Sans"/>
          <w:sz w:val="20"/>
          <w:szCs w:val="20"/>
        </w:rPr>
        <w:t xml:space="preserve"> (31.12.2019: </w:t>
      </w:r>
      <w:r w:rsidR="00D73BA4">
        <w:rPr>
          <w:rFonts w:ascii="Open Sans" w:hAnsi="Open Sans" w:cs="Open Sans"/>
          <w:sz w:val="20"/>
          <w:szCs w:val="20"/>
        </w:rPr>
        <w:t>1.844.252</w:t>
      </w:r>
      <w:r w:rsidR="00013663">
        <w:rPr>
          <w:rFonts w:ascii="Open Sans" w:hAnsi="Open Sans" w:cs="Open Sans"/>
          <w:sz w:val="20"/>
          <w:szCs w:val="20"/>
        </w:rPr>
        <w:t xml:space="preserve"> </w:t>
      </w:r>
      <w:r w:rsidR="00000973">
        <w:rPr>
          <w:rFonts w:ascii="Open Sans" w:hAnsi="Open Sans" w:cs="Open Sans"/>
          <w:sz w:val="20"/>
          <w:szCs w:val="20"/>
        </w:rPr>
        <w:t>EUR)</w:t>
      </w:r>
      <w:r w:rsidR="001D0FB8">
        <w:rPr>
          <w:rFonts w:ascii="Open Sans" w:hAnsi="Open Sans" w:cs="Open Sans"/>
          <w:sz w:val="20"/>
          <w:szCs w:val="20"/>
        </w:rPr>
        <w:t>.</w:t>
      </w:r>
    </w:p>
    <w:p w14:paraId="3D69E2D1" w14:textId="3615C7D2" w:rsidR="00CB07E3" w:rsidRDefault="00CE6337" w:rsidP="0073641D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Kratkor</w:t>
      </w:r>
      <w:r w:rsidR="00F32266">
        <w:rPr>
          <w:rFonts w:ascii="Open Sans" w:hAnsi="Open Sans" w:cs="Open Sans"/>
          <w:sz w:val="20"/>
          <w:szCs w:val="20"/>
        </w:rPr>
        <w:t xml:space="preserve">očne poslovne obveznosti na </w:t>
      </w:r>
      <w:r w:rsidR="00D20935">
        <w:rPr>
          <w:rFonts w:ascii="Open Sans" w:hAnsi="Open Sans" w:cs="Open Sans"/>
          <w:sz w:val="20"/>
          <w:szCs w:val="20"/>
        </w:rPr>
        <w:t>30.6</w:t>
      </w:r>
      <w:r w:rsidR="007B690F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D20935">
        <w:rPr>
          <w:rFonts w:ascii="Open Sans" w:hAnsi="Open Sans" w:cs="Open Sans"/>
          <w:sz w:val="20"/>
          <w:szCs w:val="20"/>
        </w:rPr>
        <w:t>1.629.064</w:t>
      </w:r>
      <w:r w:rsidRPr="00992E71">
        <w:rPr>
          <w:rFonts w:ascii="Open Sans" w:hAnsi="Open Sans" w:cs="Open Sans"/>
          <w:sz w:val="20"/>
          <w:szCs w:val="20"/>
        </w:rPr>
        <w:t xml:space="preserve"> EUR</w:t>
      </w:r>
      <w:r w:rsidR="007B690F">
        <w:rPr>
          <w:rFonts w:ascii="Open Sans" w:hAnsi="Open Sans" w:cs="Open Sans"/>
          <w:sz w:val="20"/>
          <w:szCs w:val="20"/>
        </w:rPr>
        <w:t xml:space="preserve"> in so v primerjavi z 31.12.2019</w:t>
      </w:r>
      <w:r w:rsidRPr="00992E71">
        <w:rPr>
          <w:rFonts w:ascii="Open Sans" w:hAnsi="Open Sans" w:cs="Open Sans"/>
          <w:sz w:val="20"/>
          <w:szCs w:val="20"/>
        </w:rPr>
        <w:t xml:space="preserve">, ko so znašale </w:t>
      </w:r>
      <w:r w:rsidR="00184B82" w:rsidRPr="00184B82">
        <w:rPr>
          <w:rFonts w:ascii="Open Sans" w:hAnsi="Open Sans" w:cs="Open Sans"/>
          <w:sz w:val="20"/>
          <w:szCs w:val="20"/>
        </w:rPr>
        <w:t>1.223.184</w:t>
      </w:r>
      <w:r w:rsidR="000B1AAC">
        <w:rPr>
          <w:rFonts w:ascii="Open Sans" w:hAnsi="Open Sans" w:cs="Open Sans"/>
          <w:sz w:val="20"/>
          <w:szCs w:val="20"/>
        </w:rPr>
        <w:t xml:space="preserve"> EUR</w:t>
      </w:r>
      <w:r w:rsidR="0016609E">
        <w:rPr>
          <w:rFonts w:ascii="Open Sans" w:hAnsi="Open Sans" w:cs="Open Sans"/>
          <w:sz w:val="20"/>
          <w:szCs w:val="20"/>
        </w:rPr>
        <w:t xml:space="preserve">, </w:t>
      </w:r>
      <w:r w:rsidR="00D20935">
        <w:rPr>
          <w:rFonts w:ascii="Open Sans" w:hAnsi="Open Sans" w:cs="Open Sans"/>
          <w:sz w:val="20"/>
          <w:szCs w:val="20"/>
        </w:rPr>
        <w:t>višje</w:t>
      </w:r>
      <w:r w:rsidRPr="004A5F7E">
        <w:rPr>
          <w:rFonts w:ascii="Open Sans" w:hAnsi="Open Sans" w:cs="Open Sans"/>
          <w:sz w:val="20"/>
          <w:szCs w:val="20"/>
        </w:rPr>
        <w:t xml:space="preserve">. Razlika </w:t>
      </w:r>
      <w:r w:rsidRPr="00992E71">
        <w:rPr>
          <w:rFonts w:ascii="Open Sans" w:hAnsi="Open Sans" w:cs="Open Sans"/>
          <w:sz w:val="20"/>
          <w:szCs w:val="20"/>
        </w:rPr>
        <w:t xml:space="preserve">je </w:t>
      </w:r>
      <w:r w:rsidR="007B690F">
        <w:rPr>
          <w:rFonts w:ascii="Open Sans" w:hAnsi="Open Sans" w:cs="Open Sans"/>
          <w:sz w:val="20"/>
          <w:szCs w:val="20"/>
        </w:rPr>
        <w:t>predvsem</w:t>
      </w:r>
      <w:r w:rsidR="00CF5309">
        <w:rPr>
          <w:rFonts w:ascii="Open Sans" w:hAnsi="Open Sans" w:cs="Open Sans"/>
          <w:sz w:val="20"/>
          <w:szCs w:val="20"/>
        </w:rPr>
        <w:t xml:space="preserve"> posledica </w:t>
      </w:r>
      <w:r w:rsidR="00D20935">
        <w:rPr>
          <w:rFonts w:ascii="Open Sans" w:hAnsi="Open Sans" w:cs="Open Sans"/>
          <w:sz w:val="20"/>
          <w:szCs w:val="20"/>
        </w:rPr>
        <w:t>visokega zneska odprtih obveznosti za nakup poslovnega prostora</w:t>
      </w:r>
      <w:r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2A03A5A3" w14:textId="77777777" w:rsidR="001D0A8E" w:rsidRPr="00992E71" w:rsidRDefault="001D0A8E" w:rsidP="0073641D">
      <w:pPr>
        <w:jc w:val="both"/>
        <w:rPr>
          <w:rFonts w:ascii="Open Sans" w:hAnsi="Open Sans" w:cs="Open Sans"/>
          <w:sz w:val="20"/>
          <w:szCs w:val="20"/>
        </w:rPr>
      </w:pPr>
    </w:p>
    <w:p w14:paraId="470DF710" w14:textId="7370D16A" w:rsidR="001D0A8E" w:rsidRDefault="003A647D" w:rsidP="001D0A8E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Ključni finančni kazalniki</w:t>
      </w:r>
    </w:p>
    <w:p w14:paraId="72092BA6" w14:textId="47F8332E" w:rsidR="0040448D" w:rsidRDefault="00B3353B" w:rsidP="00B3353B">
      <w:pPr>
        <w:jc w:val="both"/>
        <w:rPr>
          <w:rFonts w:ascii="Open Sans" w:hAnsi="Open Sans" w:cs="Open Sans"/>
          <w:sz w:val="20"/>
          <w:szCs w:val="20"/>
        </w:rPr>
      </w:pPr>
      <w:r w:rsidRPr="00B3353B">
        <w:rPr>
          <w:rFonts w:ascii="Open Sans" w:hAnsi="Open Sans" w:cs="Open Sans"/>
          <w:sz w:val="20"/>
          <w:szCs w:val="20"/>
        </w:rPr>
        <w:t xml:space="preserve">EBITDA v </w:t>
      </w:r>
      <w:r w:rsidR="00296FD1">
        <w:rPr>
          <w:rFonts w:ascii="Open Sans" w:hAnsi="Open Sans" w:cs="Open Sans"/>
          <w:sz w:val="20"/>
          <w:szCs w:val="20"/>
        </w:rPr>
        <w:t>obdo</w:t>
      </w:r>
      <w:r w:rsidR="005122D7">
        <w:rPr>
          <w:rFonts w:ascii="Open Sans" w:hAnsi="Open Sans" w:cs="Open Sans"/>
          <w:sz w:val="20"/>
          <w:szCs w:val="20"/>
        </w:rPr>
        <w:t>bju 1.1. – 30.6</w:t>
      </w:r>
      <w:r w:rsidR="00296FD1">
        <w:rPr>
          <w:rFonts w:ascii="Open Sans" w:hAnsi="Open Sans" w:cs="Open Sans"/>
          <w:sz w:val="20"/>
          <w:szCs w:val="20"/>
        </w:rPr>
        <w:t>.2020</w:t>
      </w:r>
      <w:r>
        <w:rPr>
          <w:rFonts w:ascii="Open Sans" w:hAnsi="Open Sans" w:cs="Open Sans"/>
          <w:sz w:val="20"/>
          <w:szCs w:val="20"/>
        </w:rPr>
        <w:t xml:space="preserve"> znaš</w:t>
      </w:r>
      <w:r w:rsidRPr="00E27802">
        <w:rPr>
          <w:rFonts w:ascii="Open Sans" w:hAnsi="Open Sans" w:cs="Open Sans"/>
          <w:sz w:val="20"/>
          <w:szCs w:val="20"/>
        </w:rPr>
        <w:t xml:space="preserve">a </w:t>
      </w:r>
      <w:r w:rsidR="002546F7">
        <w:rPr>
          <w:rFonts w:ascii="Open Sans" w:hAnsi="Open Sans" w:cs="Open Sans"/>
          <w:sz w:val="20"/>
          <w:szCs w:val="20"/>
        </w:rPr>
        <w:t>1.143.445</w:t>
      </w:r>
      <w:r w:rsidR="00782A32" w:rsidRPr="00782A32">
        <w:rPr>
          <w:rFonts w:ascii="Open Sans" w:hAnsi="Open Sans" w:cs="Open Sans"/>
          <w:sz w:val="20"/>
          <w:szCs w:val="20"/>
        </w:rPr>
        <w:t xml:space="preserve"> EUR</w:t>
      </w:r>
      <w:r w:rsidR="002546F7">
        <w:rPr>
          <w:rFonts w:ascii="Open Sans" w:hAnsi="Open Sans" w:cs="Open Sans"/>
          <w:sz w:val="20"/>
          <w:szCs w:val="20"/>
        </w:rPr>
        <w:t>, EBITDA marža pa 31,7</w:t>
      </w:r>
      <w:r w:rsidR="0040448D">
        <w:rPr>
          <w:rFonts w:ascii="Open Sans" w:hAnsi="Open Sans" w:cs="Open Sans"/>
          <w:sz w:val="20"/>
          <w:szCs w:val="20"/>
        </w:rPr>
        <w:t xml:space="preserve">%. </w:t>
      </w:r>
    </w:p>
    <w:p w14:paraId="1E7AF18D" w14:textId="1B069441" w:rsidR="00E931D9" w:rsidRDefault="0040448D" w:rsidP="00B3353B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EBITDA, prilagojen za učinek prodaje nepremičnine v </w:t>
      </w:r>
      <w:r w:rsidR="002546F7">
        <w:rPr>
          <w:rFonts w:ascii="Open Sans" w:hAnsi="Open Sans" w:cs="Open Sans"/>
          <w:sz w:val="20"/>
          <w:szCs w:val="20"/>
        </w:rPr>
        <w:t>Škofji Loki, v obdobju 1.1. – 30.6</w:t>
      </w:r>
      <w:r>
        <w:rPr>
          <w:rFonts w:ascii="Open Sans" w:hAnsi="Open Sans" w:cs="Open Sans"/>
          <w:sz w:val="20"/>
          <w:szCs w:val="20"/>
        </w:rPr>
        <w:t xml:space="preserve">.2020 znaša </w:t>
      </w:r>
      <w:r w:rsidR="002546F7">
        <w:rPr>
          <w:rFonts w:ascii="Open Sans" w:hAnsi="Open Sans" w:cs="Open Sans"/>
          <w:sz w:val="20"/>
          <w:szCs w:val="20"/>
        </w:rPr>
        <w:t>210.702</w:t>
      </w:r>
      <w:r>
        <w:rPr>
          <w:rFonts w:ascii="Open Sans" w:hAnsi="Open Sans" w:cs="Open Sans"/>
          <w:sz w:val="20"/>
          <w:szCs w:val="20"/>
        </w:rPr>
        <w:t xml:space="preserve"> EUR, prilagojena EBITDA marža pa </w:t>
      </w:r>
      <w:r w:rsidR="002546F7">
        <w:rPr>
          <w:rFonts w:ascii="Open Sans" w:hAnsi="Open Sans" w:cs="Open Sans"/>
          <w:sz w:val="20"/>
          <w:szCs w:val="20"/>
        </w:rPr>
        <w:t>5,8</w:t>
      </w:r>
      <w:r>
        <w:rPr>
          <w:rFonts w:ascii="Open Sans" w:hAnsi="Open Sans" w:cs="Open Sans"/>
          <w:sz w:val="20"/>
          <w:szCs w:val="20"/>
        </w:rPr>
        <w:t>%.</w:t>
      </w:r>
    </w:p>
    <w:p w14:paraId="6916EBCF" w14:textId="724C7BD0" w:rsidR="00C359FC" w:rsidRDefault="00030B49" w:rsidP="00B3353B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 obdobju 1.1. – 30.6</w:t>
      </w:r>
      <w:r w:rsidR="0040448D">
        <w:rPr>
          <w:rFonts w:ascii="Open Sans" w:hAnsi="Open Sans" w:cs="Open Sans"/>
          <w:sz w:val="20"/>
          <w:szCs w:val="20"/>
        </w:rPr>
        <w:t xml:space="preserve">.2019 je EBITDA znašala </w:t>
      </w:r>
      <w:r>
        <w:rPr>
          <w:rFonts w:ascii="Open Sans" w:hAnsi="Open Sans" w:cs="Open Sans"/>
          <w:sz w:val="20"/>
          <w:szCs w:val="20"/>
        </w:rPr>
        <w:t>990.961</w:t>
      </w:r>
      <w:r w:rsidR="0040448D">
        <w:rPr>
          <w:rFonts w:ascii="Open Sans" w:hAnsi="Open Sans" w:cs="Open Sans"/>
          <w:sz w:val="20"/>
          <w:szCs w:val="20"/>
        </w:rPr>
        <w:t xml:space="preserve"> EUR, EBITDA marža pa </w:t>
      </w:r>
      <w:r>
        <w:rPr>
          <w:rFonts w:ascii="Open Sans" w:hAnsi="Open Sans" w:cs="Open Sans"/>
          <w:sz w:val="20"/>
          <w:szCs w:val="20"/>
        </w:rPr>
        <w:t>14,94</w:t>
      </w:r>
      <w:r w:rsidR="0040448D">
        <w:rPr>
          <w:rFonts w:ascii="Open Sans" w:hAnsi="Open Sans" w:cs="Open Sans"/>
          <w:sz w:val="20"/>
          <w:szCs w:val="20"/>
        </w:rPr>
        <w:t>%.</w:t>
      </w:r>
    </w:p>
    <w:p w14:paraId="7B36E0E8" w14:textId="77777777" w:rsidR="001266D0" w:rsidRPr="00B3353B" w:rsidRDefault="001266D0" w:rsidP="00B3353B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Style w:val="Tabelamrea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417"/>
        <w:gridCol w:w="1559"/>
      </w:tblGrid>
      <w:tr w:rsidR="00250E05" w:rsidRPr="00992E71" w14:paraId="4A6D5100" w14:textId="77777777" w:rsidTr="001622AC">
        <w:tc>
          <w:tcPr>
            <w:tcW w:w="6096" w:type="dxa"/>
            <w:shd w:val="clear" w:color="auto" w:fill="F2F2F2" w:themeFill="background1" w:themeFillShade="F2"/>
          </w:tcPr>
          <w:p w14:paraId="371378A9" w14:textId="77777777" w:rsidR="00250E05" w:rsidRPr="00992E71" w:rsidRDefault="00250E05" w:rsidP="00250E05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108A9D0" w14:textId="7F86CFEA" w:rsidR="00250E05" w:rsidRPr="00992E71" w:rsidRDefault="007624F4" w:rsidP="00250E05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30.6</w:t>
            </w:r>
            <w:r w:rsidR="00E931D9">
              <w:rPr>
                <w:rFonts w:ascii="Open Sans" w:hAnsi="Open Sans" w:cs="Open Sans"/>
                <w:b/>
                <w:sz w:val="20"/>
                <w:szCs w:val="20"/>
              </w:rPr>
              <w:t>.2020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4674FCD" w14:textId="6E7F4441" w:rsidR="009727AD" w:rsidRPr="00992E71" w:rsidRDefault="00E931D9" w:rsidP="009727A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31.12.2019</w:t>
            </w:r>
          </w:p>
        </w:tc>
      </w:tr>
      <w:tr w:rsidR="001772C9" w:rsidRPr="00992E71" w14:paraId="2F0C41AC" w14:textId="77777777" w:rsidTr="001622AC">
        <w:tc>
          <w:tcPr>
            <w:tcW w:w="6096" w:type="dxa"/>
          </w:tcPr>
          <w:p w14:paraId="5EC95706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Stopnja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lastniškosti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 financiranja</w:t>
            </w:r>
          </w:p>
        </w:tc>
        <w:tc>
          <w:tcPr>
            <w:tcW w:w="1417" w:type="dxa"/>
            <w:shd w:val="clear" w:color="auto" w:fill="auto"/>
          </w:tcPr>
          <w:p w14:paraId="6D1C5BD7" w14:textId="0CFCB4C5" w:rsidR="001772C9" w:rsidRPr="003C6DAF" w:rsidRDefault="0009204B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0,74</w:t>
            </w:r>
          </w:p>
        </w:tc>
        <w:tc>
          <w:tcPr>
            <w:tcW w:w="1559" w:type="dxa"/>
          </w:tcPr>
          <w:p w14:paraId="73FC3F10" w14:textId="092E4AE4" w:rsidR="001772C9" w:rsidRPr="00616220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16220">
              <w:rPr>
                <w:rFonts w:ascii="Open Sans" w:hAnsi="Open Sans" w:cs="Open Sans"/>
                <w:sz w:val="20"/>
                <w:szCs w:val="20"/>
              </w:rPr>
              <w:t>0,74</w:t>
            </w:r>
          </w:p>
        </w:tc>
      </w:tr>
      <w:tr w:rsidR="001772C9" w:rsidRPr="00992E71" w14:paraId="76F66500" w14:textId="77777777" w:rsidTr="001622AC">
        <w:tc>
          <w:tcPr>
            <w:tcW w:w="6096" w:type="dxa"/>
          </w:tcPr>
          <w:p w14:paraId="04403CE1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Stopnja dolgoročnosti financiranja</w:t>
            </w:r>
          </w:p>
        </w:tc>
        <w:tc>
          <w:tcPr>
            <w:tcW w:w="1417" w:type="dxa"/>
            <w:shd w:val="clear" w:color="auto" w:fill="auto"/>
          </w:tcPr>
          <w:p w14:paraId="2F6C2B9A" w14:textId="50479CB7" w:rsidR="001772C9" w:rsidRPr="003C6DAF" w:rsidRDefault="0009204B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0,85</w:t>
            </w:r>
          </w:p>
        </w:tc>
        <w:tc>
          <w:tcPr>
            <w:tcW w:w="1559" w:type="dxa"/>
          </w:tcPr>
          <w:p w14:paraId="63D17EB2" w14:textId="4FFBC0AE" w:rsidR="001772C9" w:rsidRPr="00616220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16220">
              <w:rPr>
                <w:rFonts w:ascii="Open Sans" w:hAnsi="Open Sans" w:cs="Open Sans"/>
                <w:sz w:val="20"/>
                <w:szCs w:val="20"/>
              </w:rPr>
              <w:t>0,86</w:t>
            </w:r>
          </w:p>
        </w:tc>
      </w:tr>
      <w:tr w:rsidR="001772C9" w:rsidRPr="00992E71" w14:paraId="61150199" w14:textId="77777777" w:rsidTr="001622AC">
        <w:tc>
          <w:tcPr>
            <w:tcW w:w="6096" w:type="dxa"/>
          </w:tcPr>
          <w:p w14:paraId="1E294B0B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Stopnja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osnovnosti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 investiranja</w:t>
            </w:r>
          </w:p>
        </w:tc>
        <w:tc>
          <w:tcPr>
            <w:tcW w:w="1417" w:type="dxa"/>
            <w:shd w:val="clear" w:color="auto" w:fill="auto"/>
          </w:tcPr>
          <w:p w14:paraId="31309AB9" w14:textId="508264F5" w:rsidR="004C5E48" w:rsidRPr="003C6DAF" w:rsidRDefault="00272670" w:rsidP="004C5E48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0,32</w:t>
            </w:r>
          </w:p>
        </w:tc>
        <w:tc>
          <w:tcPr>
            <w:tcW w:w="1559" w:type="dxa"/>
          </w:tcPr>
          <w:p w14:paraId="30AC67C0" w14:textId="081BA15D" w:rsidR="001772C9" w:rsidRPr="00616220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16220">
              <w:rPr>
                <w:rFonts w:ascii="Open Sans" w:hAnsi="Open Sans" w:cs="Open Sans"/>
                <w:sz w:val="20"/>
                <w:szCs w:val="20"/>
              </w:rPr>
              <w:t>0,34</w:t>
            </w:r>
          </w:p>
        </w:tc>
      </w:tr>
      <w:tr w:rsidR="001772C9" w:rsidRPr="00992E71" w14:paraId="04C2A092" w14:textId="77777777" w:rsidTr="001622AC">
        <w:tc>
          <w:tcPr>
            <w:tcW w:w="6096" w:type="dxa"/>
          </w:tcPr>
          <w:p w14:paraId="7DEB240B" w14:textId="474FF8BA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Stopnja dolgoročnosti investiranja</w:t>
            </w:r>
          </w:p>
        </w:tc>
        <w:tc>
          <w:tcPr>
            <w:tcW w:w="1417" w:type="dxa"/>
            <w:shd w:val="clear" w:color="auto" w:fill="auto"/>
          </w:tcPr>
          <w:p w14:paraId="40D2B58E" w14:textId="59F0F7B0" w:rsidR="001772C9" w:rsidRPr="003C6DAF" w:rsidRDefault="005F1876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0,51</w:t>
            </w:r>
          </w:p>
        </w:tc>
        <w:tc>
          <w:tcPr>
            <w:tcW w:w="1559" w:type="dxa"/>
          </w:tcPr>
          <w:p w14:paraId="6E8BD04A" w14:textId="270A3192" w:rsidR="001772C9" w:rsidRPr="00616220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16220">
              <w:rPr>
                <w:rFonts w:ascii="Open Sans" w:hAnsi="Open Sans" w:cs="Open Sans"/>
                <w:sz w:val="20"/>
                <w:szCs w:val="20"/>
              </w:rPr>
              <w:t>0,51</w:t>
            </w:r>
          </w:p>
        </w:tc>
      </w:tr>
      <w:tr w:rsidR="001772C9" w:rsidRPr="00992E71" w14:paraId="18BCD8BB" w14:textId="77777777" w:rsidTr="001622AC">
        <w:tc>
          <w:tcPr>
            <w:tcW w:w="6096" w:type="dxa"/>
          </w:tcPr>
          <w:p w14:paraId="0162B288" w14:textId="1FD331DC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Koeficient kapitalske pokritosti osnovnih sredstev</w:t>
            </w:r>
          </w:p>
        </w:tc>
        <w:tc>
          <w:tcPr>
            <w:tcW w:w="1417" w:type="dxa"/>
            <w:shd w:val="clear" w:color="auto" w:fill="auto"/>
          </w:tcPr>
          <w:p w14:paraId="4267CA92" w14:textId="7DD26051" w:rsidR="001772C9" w:rsidRPr="003C6DAF" w:rsidRDefault="00105766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2,30</w:t>
            </w:r>
          </w:p>
        </w:tc>
        <w:tc>
          <w:tcPr>
            <w:tcW w:w="1559" w:type="dxa"/>
          </w:tcPr>
          <w:p w14:paraId="22D3219A" w14:textId="4D1C7E23" w:rsidR="001772C9" w:rsidRPr="00616220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16220">
              <w:rPr>
                <w:rFonts w:ascii="Open Sans" w:hAnsi="Open Sans" w:cs="Open Sans"/>
                <w:sz w:val="20"/>
                <w:szCs w:val="20"/>
              </w:rPr>
              <w:t>2,16</w:t>
            </w:r>
          </w:p>
        </w:tc>
      </w:tr>
      <w:tr w:rsidR="001772C9" w:rsidRPr="00992E71" w14:paraId="118F608F" w14:textId="77777777" w:rsidTr="001622AC">
        <w:tc>
          <w:tcPr>
            <w:tcW w:w="6096" w:type="dxa"/>
          </w:tcPr>
          <w:p w14:paraId="3996B3EB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kapitalske pokritosti dolgoročnih sredstev</w:t>
            </w:r>
          </w:p>
        </w:tc>
        <w:tc>
          <w:tcPr>
            <w:tcW w:w="1417" w:type="dxa"/>
            <w:shd w:val="clear" w:color="auto" w:fill="auto"/>
          </w:tcPr>
          <w:p w14:paraId="6580FEA8" w14:textId="683FAF33" w:rsidR="001772C9" w:rsidRPr="003C6DAF" w:rsidRDefault="00192EFA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1,43</w:t>
            </w:r>
          </w:p>
        </w:tc>
        <w:tc>
          <w:tcPr>
            <w:tcW w:w="1559" w:type="dxa"/>
          </w:tcPr>
          <w:p w14:paraId="20B66D64" w14:textId="591FE539" w:rsidR="001772C9" w:rsidRPr="00616220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16220">
              <w:rPr>
                <w:rFonts w:ascii="Open Sans" w:hAnsi="Open Sans" w:cs="Open Sans"/>
                <w:sz w:val="20"/>
                <w:szCs w:val="20"/>
              </w:rPr>
              <w:t>1,44</w:t>
            </w:r>
          </w:p>
        </w:tc>
      </w:tr>
      <w:tr w:rsidR="001772C9" w:rsidRPr="00992E71" w14:paraId="228450DA" w14:textId="77777777" w:rsidTr="001622AC">
        <w:tc>
          <w:tcPr>
            <w:tcW w:w="6096" w:type="dxa"/>
          </w:tcPr>
          <w:p w14:paraId="44780F83" w14:textId="77777777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kapitalske pokritosti dolgoročnih sredstev in zalog</w:t>
            </w:r>
          </w:p>
        </w:tc>
        <w:tc>
          <w:tcPr>
            <w:tcW w:w="1417" w:type="dxa"/>
            <w:shd w:val="clear" w:color="auto" w:fill="auto"/>
          </w:tcPr>
          <w:p w14:paraId="4CF7EBF5" w14:textId="701FDF05" w:rsidR="001772C9" w:rsidRPr="003C6DAF" w:rsidRDefault="00192EFA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1,07</w:t>
            </w:r>
          </w:p>
        </w:tc>
        <w:tc>
          <w:tcPr>
            <w:tcW w:w="1559" w:type="dxa"/>
          </w:tcPr>
          <w:p w14:paraId="5E23E7E6" w14:textId="37A993C0" w:rsidR="001772C9" w:rsidRPr="00616220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16220">
              <w:rPr>
                <w:rFonts w:ascii="Open Sans" w:hAnsi="Open Sans" w:cs="Open Sans"/>
                <w:sz w:val="20"/>
                <w:szCs w:val="20"/>
              </w:rPr>
              <w:t>1,10</w:t>
            </w:r>
          </w:p>
        </w:tc>
      </w:tr>
      <w:tr w:rsidR="001772C9" w:rsidRPr="00992E71" w14:paraId="4B3BEBE4" w14:textId="77777777" w:rsidTr="001622AC">
        <w:tc>
          <w:tcPr>
            <w:tcW w:w="6096" w:type="dxa"/>
          </w:tcPr>
          <w:p w14:paraId="390CA3A4" w14:textId="77777777" w:rsidR="001772C9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neposredne pokritosti kratkoročnih obveznosti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491E7D0F" w14:textId="34EEA4F1" w:rsidR="001772C9" w:rsidRPr="00992E71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(hitri koeficient)</w:t>
            </w:r>
          </w:p>
        </w:tc>
        <w:tc>
          <w:tcPr>
            <w:tcW w:w="1417" w:type="dxa"/>
            <w:shd w:val="clear" w:color="auto" w:fill="auto"/>
          </w:tcPr>
          <w:p w14:paraId="31B07554" w14:textId="3B1E9931" w:rsidR="001772C9" w:rsidRPr="003C6DAF" w:rsidRDefault="00A65FCC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1,14</w:t>
            </w:r>
          </w:p>
        </w:tc>
        <w:tc>
          <w:tcPr>
            <w:tcW w:w="1559" w:type="dxa"/>
          </w:tcPr>
          <w:p w14:paraId="5991D8ED" w14:textId="1927BC8B" w:rsidR="001772C9" w:rsidRPr="00616220" w:rsidRDefault="001772C9" w:rsidP="004C1C5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16220">
              <w:rPr>
                <w:rFonts w:ascii="Open Sans" w:hAnsi="Open Sans" w:cs="Open Sans"/>
                <w:sz w:val="20"/>
                <w:szCs w:val="20"/>
              </w:rPr>
              <w:t>1,</w:t>
            </w:r>
            <w:r w:rsidR="004C1C5B">
              <w:rPr>
                <w:rFonts w:ascii="Open Sans" w:hAnsi="Open Sans" w:cs="Open Sans"/>
                <w:sz w:val="20"/>
                <w:szCs w:val="20"/>
              </w:rPr>
              <w:t>67</w:t>
            </w:r>
          </w:p>
        </w:tc>
      </w:tr>
      <w:tr w:rsidR="001772C9" w:rsidRPr="00992E71" w14:paraId="6B5806C0" w14:textId="77777777" w:rsidTr="001622AC">
        <w:tc>
          <w:tcPr>
            <w:tcW w:w="6096" w:type="dxa"/>
          </w:tcPr>
          <w:p w14:paraId="54D563F7" w14:textId="26B88C48" w:rsidR="001772C9" w:rsidRPr="00992E71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pospešene pokritosti kratkoročnih obveznosti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(pospešeni koeficient)</w:t>
            </w:r>
          </w:p>
        </w:tc>
        <w:tc>
          <w:tcPr>
            <w:tcW w:w="1417" w:type="dxa"/>
            <w:shd w:val="clear" w:color="auto" w:fill="auto"/>
          </w:tcPr>
          <w:p w14:paraId="1968E847" w14:textId="16C57565" w:rsidR="001772C9" w:rsidRPr="003C6DAF" w:rsidRDefault="00A65FCC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1,49</w:t>
            </w:r>
          </w:p>
        </w:tc>
        <w:tc>
          <w:tcPr>
            <w:tcW w:w="1559" w:type="dxa"/>
          </w:tcPr>
          <w:p w14:paraId="68A3B4B2" w14:textId="36993F0F" w:rsidR="001772C9" w:rsidRPr="00616220" w:rsidRDefault="0048387D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16220">
              <w:rPr>
                <w:rFonts w:ascii="Open Sans" w:hAnsi="Open Sans" w:cs="Open Sans"/>
                <w:sz w:val="20"/>
                <w:szCs w:val="20"/>
              </w:rPr>
              <w:t>1,90</w:t>
            </w:r>
          </w:p>
        </w:tc>
      </w:tr>
      <w:tr w:rsidR="001772C9" w:rsidRPr="00992E71" w14:paraId="7C383D03" w14:textId="77777777" w:rsidTr="001622AC">
        <w:tc>
          <w:tcPr>
            <w:tcW w:w="6096" w:type="dxa"/>
          </w:tcPr>
          <w:p w14:paraId="2B07D7C8" w14:textId="66A1D87B" w:rsidR="001772C9" w:rsidRPr="00992E71" w:rsidRDefault="001772C9" w:rsidP="001772C9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kratkoročne pokritosti kratkoročnih obveznosti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(kratkoročni koeficient)</w:t>
            </w:r>
          </w:p>
        </w:tc>
        <w:tc>
          <w:tcPr>
            <w:tcW w:w="1417" w:type="dxa"/>
            <w:shd w:val="clear" w:color="auto" w:fill="auto"/>
          </w:tcPr>
          <w:p w14:paraId="1CBBB309" w14:textId="77777777" w:rsidR="001772C9" w:rsidRDefault="00D532EE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3,37</w:t>
            </w:r>
          </w:p>
          <w:p w14:paraId="66EDDA03" w14:textId="13FE4577" w:rsidR="00D532EE" w:rsidRPr="003C6DAF" w:rsidRDefault="00D532EE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D1946F" w14:textId="6C8F028A" w:rsidR="001772C9" w:rsidRPr="00616220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16220">
              <w:rPr>
                <w:rFonts w:ascii="Open Sans" w:hAnsi="Open Sans" w:cs="Open Sans"/>
                <w:sz w:val="20"/>
                <w:szCs w:val="20"/>
              </w:rPr>
              <w:t>4,01</w:t>
            </w:r>
          </w:p>
        </w:tc>
      </w:tr>
      <w:tr w:rsidR="001772C9" w:rsidRPr="00992E71" w14:paraId="1FEE41A4" w14:textId="77777777" w:rsidTr="001622AC">
        <w:tc>
          <w:tcPr>
            <w:tcW w:w="6096" w:type="dxa"/>
          </w:tcPr>
          <w:p w14:paraId="1489A25D" w14:textId="67D01AB6" w:rsidR="001772C9" w:rsidRPr="00992E71" w:rsidRDefault="001772C9" w:rsidP="001772C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Koeficient gospodarnosti poslovanja</w:t>
            </w:r>
          </w:p>
        </w:tc>
        <w:tc>
          <w:tcPr>
            <w:tcW w:w="1417" w:type="dxa"/>
            <w:shd w:val="clear" w:color="auto" w:fill="auto"/>
          </w:tcPr>
          <w:p w14:paraId="7F269070" w14:textId="4B50488D" w:rsidR="001772C9" w:rsidRPr="003C6DAF" w:rsidRDefault="00A21D26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1,13</w:t>
            </w:r>
          </w:p>
        </w:tc>
        <w:tc>
          <w:tcPr>
            <w:tcW w:w="1559" w:type="dxa"/>
          </w:tcPr>
          <w:p w14:paraId="058023E8" w14:textId="45616902" w:rsidR="001772C9" w:rsidRPr="00616220" w:rsidRDefault="001772C9" w:rsidP="001772C9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616220">
              <w:rPr>
                <w:rFonts w:ascii="Open Sans" w:hAnsi="Open Sans" w:cs="Open Sans"/>
                <w:sz w:val="20"/>
                <w:szCs w:val="20"/>
              </w:rPr>
              <w:t>1,05</w:t>
            </w:r>
          </w:p>
        </w:tc>
      </w:tr>
    </w:tbl>
    <w:p w14:paraId="7A6AB9A3" w14:textId="77777777" w:rsidR="00696275" w:rsidRDefault="00696275" w:rsidP="009A1F2F">
      <w:pPr>
        <w:pStyle w:val="Odstavekseznama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68F62C4A" w14:textId="77777777" w:rsidR="001D0A8E" w:rsidRDefault="001D0A8E" w:rsidP="009A1F2F">
      <w:pPr>
        <w:pStyle w:val="Odstavekseznama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2EA2E941" w14:textId="77777777" w:rsidR="00E26541" w:rsidRDefault="00E26541" w:rsidP="009A1F2F">
      <w:pPr>
        <w:pStyle w:val="Odstavekseznama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3ADB387B" w14:textId="77777777" w:rsidR="00E26541" w:rsidRDefault="00E26541" w:rsidP="009A1F2F">
      <w:pPr>
        <w:pStyle w:val="Odstavekseznama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0712A6AC" w14:textId="77777777" w:rsidR="00E26541" w:rsidRDefault="00E26541" w:rsidP="009A1F2F">
      <w:pPr>
        <w:pStyle w:val="Odstavekseznama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7190BBBE" w14:textId="77777777" w:rsidR="00E26541" w:rsidRDefault="00E26541" w:rsidP="009A1F2F">
      <w:pPr>
        <w:pStyle w:val="Odstavekseznama"/>
        <w:ind w:left="360"/>
        <w:jc w:val="both"/>
        <w:rPr>
          <w:rFonts w:ascii="Open Sans" w:hAnsi="Open Sans" w:cs="Open Sans"/>
          <w:b/>
          <w:sz w:val="20"/>
          <w:szCs w:val="20"/>
        </w:rPr>
      </w:pPr>
    </w:p>
    <w:p w14:paraId="6B60A87C" w14:textId="18942509" w:rsidR="00696275" w:rsidRPr="00992E71" w:rsidRDefault="001F2C60" w:rsidP="00696275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Informacije o delnici</w:t>
      </w:r>
      <w:r w:rsidR="00164CF8" w:rsidRPr="00992E71">
        <w:rPr>
          <w:rFonts w:ascii="Open Sans" w:hAnsi="Open Sans" w:cs="Open Sans"/>
          <w:b/>
          <w:sz w:val="20"/>
          <w:szCs w:val="20"/>
        </w:rPr>
        <w:t xml:space="preserve"> in delničarji</w:t>
      </w:r>
      <w:r w:rsidR="00B05B98">
        <w:rPr>
          <w:rFonts w:ascii="Open Sans" w:hAnsi="Open Sans" w:cs="Open Sans"/>
          <w:b/>
          <w:sz w:val="20"/>
          <w:szCs w:val="20"/>
        </w:rPr>
        <w:t>h</w:t>
      </w:r>
    </w:p>
    <w:p w14:paraId="762C8A11" w14:textId="0DB078EF" w:rsidR="00696275" w:rsidRPr="00992E71" w:rsidRDefault="00696275" w:rsidP="00696275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Osnovni podatki o delnici družbe Nama </w:t>
      </w:r>
      <w:proofErr w:type="spellStart"/>
      <w:r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Pr="00992E71">
        <w:rPr>
          <w:rFonts w:ascii="Open Sans" w:hAnsi="Open Sans" w:cs="Open Sans"/>
          <w:sz w:val="20"/>
          <w:szCs w:val="20"/>
        </w:rPr>
        <w:t xml:space="preserve">. na dan </w:t>
      </w:r>
      <w:r w:rsidR="00FB61C1">
        <w:rPr>
          <w:rFonts w:ascii="Open Sans" w:hAnsi="Open Sans" w:cs="Open Sans"/>
          <w:sz w:val="20"/>
          <w:szCs w:val="20"/>
        </w:rPr>
        <w:t>30.6</w:t>
      </w:r>
      <w:r w:rsidR="00CD3EF3">
        <w:rPr>
          <w:rFonts w:ascii="Open Sans" w:hAnsi="Open Sans" w:cs="Open Sans"/>
          <w:sz w:val="20"/>
          <w:szCs w:val="20"/>
        </w:rPr>
        <w:t>.2020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5"/>
        <w:gridCol w:w="284"/>
        <w:gridCol w:w="3544"/>
      </w:tblGrid>
      <w:tr w:rsidR="00696275" w:rsidRPr="00992E71" w14:paraId="26C0CB95" w14:textId="77777777" w:rsidTr="005E4E3E">
        <w:tc>
          <w:tcPr>
            <w:tcW w:w="2835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5B9931B" w14:textId="77777777" w:rsidR="00696275" w:rsidRPr="00992E71" w:rsidRDefault="00696275" w:rsidP="00CB07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Osnovni podatki o delnici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D400F" w14:textId="77777777" w:rsidR="00696275" w:rsidRPr="00992E71" w:rsidRDefault="00696275" w:rsidP="00CB07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D9F63B4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96275" w:rsidRPr="00992E71" w14:paraId="39464A82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4D4EC8C7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Oznaka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79563A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63EDEA67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NALN</w:t>
            </w:r>
          </w:p>
        </w:tc>
      </w:tr>
      <w:tr w:rsidR="00696275" w:rsidRPr="00992E71" w14:paraId="21F6E3E5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58A535F1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Kotacija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133AC9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DC321DC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Standardna kotacija Ljubljanske borze</w:t>
            </w:r>
          </w:p>
        </w:tc>
      </w:tr>
      <w:tr w:rsidR="00696275" w:rsidRPr="00992E71" w14:paraId="7710CEF3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17917C0B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Osnovni kapital (v EUR)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08025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0250F698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3.977.324 EUR</w:t>
            </w:r>
          </w:p>
        </w:tc>
      </w:tr>
      <w:tr w:rsidR="00696275" w:rsidRPr="00992E71" w14:paraId="0A8EDE60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5AE04726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Število navadnih kosovnih delnic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166BEC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1C3724E3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953.795</w:t>
            </w:r>
          </w:p>
        </w:tc>
      </w:tr>
      <w:tr w:rsidR="00696275" w:rsidRPr="00992E71" w14:paraId="2025BA3A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25F5CE69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Število lastnih delnic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FC5B33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29439130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68</w:t>
            </w:r>
          </w:p>
        </w:tc>
      </w:tr>
      <w:tr w:rsidR="00696275" w:rsidRPr="00992E71" w14:paraId="0CFA3169" w14:textId="77777777" w:rsidTr="00CB07E3">
        <w:tc>
          <w:tcPr>
            <w:tcW w:w="2835" w:type="dxa"/>
            <w:tcBorders>
              <w:left w:val="nil"/>
              <w:right w:val="nil"/>
            </w:tcBorders>
          </w:tcPr>
          <w:p w14:paraId="62660A1A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Število delničarjev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9E68C6" w14:textId="77777777" w:rsidR="00696275" w:rsidRPr="00992E71" w:rsidRDefault="00696275" w:rsidP="00CB07E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B267241" w14:textId="77777777" w:rsidR="00696275" w:rsidRPr="00992E71" w:rsidRDefault="00696275" w:rsidP="00CB07E3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93</w:t>
            </w:r>
          </w:p>
        </w:tc>
      </w:tr>
    </w:tbl>
    <w:p w14:paraId="1A6D8D8E" w14:textId="77777777" w:rsidR="00CB3E81" w:rsidRDefault="00CB3E81" w:rsidP="00AE7CFE">
      <w:pPr>
        <w:jc w:val="both"/>
        <w:rPr>
          <w:rFonts w:ascii="Open Sans" w:hAnsi="Open Sans" w:cs="Open Sans"/>
          <w:sz w:val="20"/>
          <w:szCs w:val="20"/>
        </w:rPr>
      </w:pPr>
    </w:p>
    <w:p w14:paraId="22C9EED9" w14:textId="596E69BA" w:rsidR="00696275" w:rsidRPr="00992E71" w:rsidRDefault="00696275" w:rsidP="00AE7CFE">
      <w:pPr>
        <w:jc w:val="both"/>
        <w:rPr>
          <w:rFonts w:ascii="Open Sans" w:hAnsi="Open Sans" w:cs="Open Sans"/>
          <w:sz w:val="20"/>
          <w:szCs w:val="20"/>
        </w:rPr>
      </w:pPr>
      <w:r w:rsidRPr="000579EB">
        <w:rPr>
          <w:rFonts w:ascii="Open Sans" w:hAnsi="Open Sans" w:cs="Open Sans"/>
          <w:sz w:val="20"/>
          <w:szCs w:val="20"/>
        </w:rPr>
        <w:t>V obdobju od 1.1.</w:t>
      </w:r>
      <w:r w:rsidR="009A2E74">
        <w:rPr>
          <w:rFonts w:ascii="Open Sans" w:hAnsi="Open Sans" w:cs="Open Sans"/>
          <w:sz w:val="20"/>
          <w:szCs w:val="20"/>
        </w:rPr>
        <w:t xml:space="preserve"> do 30.6</w:t>
      </w:r>
      <w:r w:rsidR="00836EB0">
        <w:rPr>
          <w:rFonts w:ascii="Open Sans" w:hAnsi="Open Sans" w:cs="Open Sans"/>
          <w:sz w:val="20"/>
          <w:szCs w:val="20"/>
        </w:rPr>
        <w:t>.2020</w:t>
      </w:r>
      <w:r w:rsidRPr="000579EB">
        <w:rPr>
          <w:rFonts w:ascii="Open Sans" w:hAnsi="Open Sans" w:cs="Open Sans"/>
          <w:sz w:val="20"/>
          <w:szCs w:val="20"/>
        </w:rPr>
        <w:t xml:space="preserve"> se lastniška struktura</w:t>
      </w:r>
      <w:r w:rsidR="006E77C8">
        <w:rPr>
          <w:rFonts w:ascii="Open Sans" w:hAnsi="Open Sans" w:cs="Open Sans"/>
          <w:sz w:val="20"/>
          <w:szCs w:val="20"/>
        </w:rPr>
        <w:t xml:space="preserve"> ni spremenila in </w:t>
      </w:r>
      <w:r w:rsidR="009A2E74">
        <w:rPr>
          <w:rFonts w:ascii="Open Sans" w:hAnsi="Open Sans" w:cs="Open Sans"/>
          <w:sz w:val="20"/>
          <w:szCs w:val="20"/>
        </w:rPr>
        <w:t>je na dan 30.6</w:t>
      </w:r>
      <w:r w:rsidR="00836EB0">
        <w:rPr>
          <w:rFonts w:ascii="Open Sans" w:hAnsi="Open Sans" w:cs="Open Sans"/>
          <w:sz w:val="20"/>
          <w:szCs w:val="20"/>
        </w:rPr>
        <w:t>.2020</w:t>
      </w:r>
      <w:r w:rsidRPr="000579EB">
        <w:rPr>
          <w:rFonts w:ascii="Open Sans" w:hAnsi="Open Sans" w:cs="Open Sans"/>
          <w:sz w:val="20"/>
          <w:szCs w:val="20"/>
        </w:rPr>
        <w:t xml:space="preserve"> naslednja:</w:t>
      </w:r>
    </w:p>
    <w:tbl>
      <w:tblPr>
        <w:tblW w:w="8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2"/>
        <w:gridCol w:w="1242"/>
        <w:gridCol w:w="1168"/>
      </w:tblGrid>
      <w:tr w:rsidR="00696275" w:rsidRPr="00992E71" w14:paraId="458EB2BD" w14:textId="77777777" w:rsidTr="00B22D3A">
        <w:trPr>
          <w:trHeight w:val="247"/>
        </w:trPr>
        <w:tc>
          <w:tcPr>
            <w:tcW w:w="5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7DCCEAD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 xml:space="preserve">Lastniška struktura na dan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CF1A681" w14:textId="54AE0217" w:rsidR="00696275" w:rsidRPr="00992E71" w:rsidRDefault="00B44006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30</w:t>
            </w:r>
            <w:r w:rsidR="00F42D8C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6</w:t>
            </w:r>
            <w:r w:rsidR="00836EB0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D8D6CAB" w14:textId="368B5835" w:rsidR="00696275" w:rsidRPr="00992E71" w:rsidRDefault="00836EB0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31.12.2019</w:t>
            </w:r>
          </w:p>
        </w:tc>
      </w:tr>
      <w:tr w:rsidR="00696275" w:rsidRPr="00992E71" w14:paraId="01C8A9AC" w14:textId="77777777" w:rsidTr="00B22D3A">
        <w:trPr>
          <w:trHeight w:val="236"/>
        </w:trPr>
        <w:tc>
          <w:tcPr>
            <w:tcW w:w="5732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E6BD59A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Zavarovalnica Triglav, </w:t>
            </w:r>
            <w:proofErr w:type="spellStart"/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d.d</w:t>
            </w:r>
            <w:proofErr w:type="spellEnd"/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9EE3FB9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0F80B0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39,07%</w:t>
            </w:r>
          </w:p>
        </w:tc>
      </w:tr>
      <w:tr w:rsidR="00696275" w:rsidRPr="00992E71" w14:paraId="0EB0471E" w14:textId="77777777" w:rsidTr="00B22D3A">
        <w:trPr>
          <w:trHeight w:val="236"/>
        </w:trPr>
        <w:tc>
          <w:tcPr>
            <w:tcW w:w="5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A21D4C6" w14:textId="07479F77" w:rsidR="00696275" w:rsidRPr="00992E71" w:rsidRDefault="00DE0B0A" w:rsidP="00B22D3A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Generali </w:t>
            </w:r>
            <w:proofErr w:type="spellStart"/>
            <w:r w:rsidR="00B22D3A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d.d</w:t>
            </w:r>
            <w:proofErr w:type="spellEnd"/>
            <w:r w:rsidR="00B22D3A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., Sklad neživljenjskih zavarovanj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EEC66A1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33,19%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E2A0FE2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33,19%</w:t>
            </w:r>
          </w:p>
        </w:tc>
      </w:tr>
      <w:tr w:rsidR="00696275" w:rsidRPr="00992E71" w14:paraId="2A4AA732" w14:textId="77777777" w:rsidTr="00B22D3A">
        <w:trPr>
          <w:trHeight w:val="236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1BA50099" w14:textId="069879BE" w:rsidR="00696275" w:rsidRPr="00992E71" w:rsidRDefault="00DE0B0A" w:rsidP="00CB07E3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Generali</w:t>
            </w:r>
            <w:r w:rsidR="00696275"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96275"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d.d</w:t>
            </w:r>
            <w:proofErr w:type="spellEnd"/>
            <w:r w:rsidR="00696275"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414B7FD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15,32%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9E3268C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15,32%</w:t>
            </w:r>
          </w:p>
        </w:tc>
      </w:tr>
      <w:tr w:rsidR="00696275" w:rsidRPr="00992E71" w14:paraId="344BA1FA" w14:textId="77777777" w:rsidTr="00B22D3A">
        <w:trPr>
          <w:trHeight w:val="236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0CFCF6F1" w14:textId="3E8DC1E3" w:rsidR="00696275" w:rsidRPr="00992E71" w:rsidRDefault="00B22D3A" w:rsidP="00B22D3A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 xml:space="preserve">Triglav vzajemni skladi - Delniški Triglav Steber Global 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F9A43DB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10,97%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3C2A0D43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10,97%</w:t>
            </w:r>
          </w:p>
        </w:tc>
      </w:tr>
      <w:tr w:rsidR="00696275" w:rsidRPr="00992E71" w14:paraId="7342FADE" w14:textId="77777777" w:rsidTr="00B22D3A">
        <w:trPr>
          <w:trHeight w:val="247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491B71B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Mali delničarji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52A64FE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1,45%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76714A79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Cs/>
                <w:color w:val="000000"/>
                <w:sz w:val="20"/>
                <w:szCs w:val="20"/>
              </w:rPr>
              <w:t>1,45%</w:t>
            </w:r>
          </w:p>
        </w:tc>
      </w:tr>
      <w:tr w:rsidR="00696275" w:rsidRPr="00992E71" w14:paraId="5E047B61" w14:textId="77777777" w:rsidTr="00B22D3A">
        <w:trPr>
          <w:trHeight w:val="247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6B9EFAAD" w14:textId="77777777" w:rsidR="00696275" w:rsidRPr="00992E71" w:rsidRDefault="00696275" w:rsidP="00CB07E3">
            <w:pPr>
              <w:spacing w:after="0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Skupaj: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4D03AB91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20D9C919" w14:textId="77777777" w:rsidR="00696275" w:rsidRPr="00992E71" w:rsidRDefault="00696275" w:rsidP="00CB07E3">
            <w:pPr>
              <w:spacing w:after="0"/>
              <w:jc w:val="right"/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4A1EC24C" w14:textId="77777777" w:rsidR="001D0A8E" w:rsidRDefault="001D0A8E" w:rsidP="00696275">
      <w:pPr>
        <w:jc w:val="both"/>
        <w:rPr>
          <w:rFonts w:ascii="Open Sans" w:hAnsi="Open Sans" w:cs="Open Sans"/>
          <w:sz w:val="20"/>
          <w:szCs w:val="20"/>
        </w:rPr>
      </w:pPr>
    </w:p>
    <w:p w14:paraId="10BC43BD" w14:textId="67995FC5" w:rsidR="00696275" w:rsidRPr="00992E71" w:rsidRDefault="00696275" w:rsidP="0069627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Tečaj delnice družbe NAMA </w:t>
      </w:r>
      <w:proofErr w:type="spellStart"/>
      <w:r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Pr="00992E71">
        <w:rPr>
          <w:rFonts w:ascii="Open Sans" w:hAnsi="Open Sans" w:cs="Open Sans"/>
          <w:sz w:val="20"/>
          <w:szCs w:val="20"/>
        </w:rPr>
        <w:t xml:space="preserve">. Ljubljana z oznako NALN je </w:t>
      </w:r>
      <w:r w:rsidR="006D3201">
        <w:rPr>
          <w:rFonts w:ascii="Open Sans" w:hAnsi="Open Sans" w:cs="Open Sans"/>
          <w:sz w:val="20"/>
          <w:szCs w:val="20"/>
        </w:rPr>
        <w:t xml:space="preserve">na zadnji trgovalni dan v </w:t>
      </w:r>
      <w:r w:rsidR="00D97CCE">
        <w:rPr>
          <w:rFonts w:ascii="Open Sans" w:hAnsi="Open Sans" w:cs="Open Sans"/>
          <w:sz w:val="20"/>
          <w:szCs w:val="20"/>
        </w:rPr>
        <w:t>juniju</w:t>
      </w:r>
      <w:r w:rsidR="00FD5D6E">
        <w:rPr>
          <w:rFonts w:ascii="Open Sans" w:hAnsi="Open Sans" w:cs="Open Sans"/>
          <w:sz w:val="20"/>
          <w:szCs w:val="20"/>
        </w:rPr>
        <w:t xml:space="preserve"> 2020 znašal 23,4</w:t>
      </w:r>
      <w:r w:rsidRPr="00992E71">
        <w:rPr>
          <w:rFonts w:ascii="Open Sans" w:hAnsi="Open Sans" w:cs="Open Sans"/>
          <w:sz w:val="20"/>
          <w:szCs w:val="20"/>
        </w:rPr>
        <w:t xml:space="preserve"> EUR, tržna </w:t>
      </w:r>
      <w:r w:rsidR="006D3201">
        <w:rPr>
          <w:rFonts w:ascii="Open Sans" w:hAnsi="Open Sans" w:cs="Open Sans"/>
          <w:sz w:val="20"/>
          <w:szCs w:val="20"/>
        </w:rPr>
        <w:t xml:space="preserve">kapitalizacija pa </w:t>
      </w:r>
      <w:r w:rsidR="00FD5D6E">
        <w:rPr>
          <w:rFonts w:ascii="Open Sans" w:hAnsi="Open Sans" w:cs="Open Sans"/>
          <w:sz w:val="20"/>
          <w:szCs w:val="20"/>
        </w:rPr>
        <w:t>22,3</w:t>
      </w:r>
      <w:r w:rsidRPr="00992E71">
        <w:rPr>
          <w:rFonts w:ascii="Open Sans" w:hAnsi="Open Sans" w:cs="Open Sans"/>
          <w:sz w:val="20"/>
          <w:szCs w:val="20"/>
        </w:rPr>
        <w:t xml:space="preserve"> mio EUR. Tečaj delnice </w:t>
      </w:r>
      <w:r w:rsidR="00FD5D6E">
        <w:rPr>
          <w:rFonts w:ascii="Open Sans" w:hAnsi="Open Sans" w:cs="Open Sans"/>
          <w:sz w:val="20"/>
          <w:szCs w:val="20"/>
        </w:rPr>
        <w:t>se</w:t>
      </w:r>
      <w:r w:rsidRPr="00992E71">
        <w:rPr>
          <w:rFonts w:ascii="Open Sans" w:hAnsi="Open Sans" w:cs="Open Sans"/>
          <w:sz w:val="20"/>
          <w:szCs w:val="20"/>
        </w:rPr>
        <w:t xml:space="preserve"> </w:t>
      </w:r>
      <w:r w:rsidR="006D3201">
        <w:rPr>
          <w:rFonts w:ascii="Open Sans" w:hAnsi="Open Sans" w:cs="Open Sans"/>
          <w:sz w:val="20"/>
          <w:szCs w:val="20"/>
        </w:rPr>
        <w:t>glede na 31.12.</w:t>
      </w:r>
      <w:r w:rsidR="00FD5D6E">
        <w:rPr>
          <w:rFonts w:ascii="Open Sans" w:hAnsi="Open Sans" w:cs="Open Sans"/>
          <w:sz w:val="20"/>
          <w:szCs w:val="20"/>
        </w:rPr>
        <w:t>2019 ni spremenil.</w:t>
      </w:r>
    </w:p>
    <w:p w14:paraId="217F5B44" w14:textId="7E439029" w:rsidR="00696275" w:rsidRPr="00992E71" w:rsidRDefault="00696275" w:rsidP="0069627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Knjigovodska vrednost delnice izračunana kot razmerje med celotnim kapitalom družbe in </w:t>
      </w:r>
      <w:r w:rsidR="001048FD">
        <w:rPr>
          <w:rFonts w:ascii="Open Sans" w:hAnsi="Open Sans" w:cs="Open Sans"/>
          <w:sz w:val="20"/>
          <w:szCs w:val="20"/>
        </w:rPr>
        <w:t>številom vseh delnic na dan</w:t>
      </w:r>
      <w:r w:rsidR="00D97CCE">
        <w:rPr>
          <w:rFonts w:ascii="Open Sans" w:hAnsi="Open Sans" w:cs="Open Sans"/>
          <w:sz w:val="20"/>
          <w:szCs w:val="20"/>
        </w:rPr>
        <w:t xml:space="preserve"> 30.6</w:t>
      </w:r>
      <w:r w:rsidR="00465C22">
        <w:rPr>
          <w:rFonts w:ascii="Open Sans" w:hAnsi="Open Sans" w:cs="Open Sans"/>
          <w:sz w:val="20"/>
          <w:szCs w:val="20"/>
        </w:rPr>
        <w:t>.2020</w:t>
      </w:r>
      <w:r w:rsidR="008A4C1E">
        <w:rPr>
          <w:rFonts w:ascii="Open Sans" w:hAnsi="Open Sans" w:cs="Open Sans"/>
          <w:sz w:val="20"/>
          <w:szCs w:val="20"/>
        </w:rPr>
        <w:t xml:space="preserve"> znaša </w:t>
      </w:r>
      <w:r w:rsidR="00D97CCE">
        <w:rPr>
          <w:rFonts w:ascii="Open Sans" w:hAnsi="Open Sans" w:cs="Open Sans"/>
          <w:sz w:val="20"/>
          <w:szCs w:val="20"/>
        </w:rPr>
        <w:t>11,79</w:t>
      </w:r>
      <w:r w:rsidR="00465C22">
        <w:rPr>
          <w:rFonts w:ascii="Open Sans" w:hAnsi="Open Sans" w:cs="Open Sans"/>
          <w:sz w:val="20"/>
          <w:szCs w:val="20"/>
        </w:rPr>
        <w:t xml:space="preserve"> EUR (31.12.2019</w:t>
      </w:r>
      <w:r w:rsidRPr="00992E71">
        <w:rPr>
          <w:rFonts w:ascii="Open Sans" w:hAnsi="Open Sans" w:cs="Open Sans"/>
          <w:sz w:val="20"/>
          <w:szCs w:val="20"/>
        </w:rPr>
        <w:t>:</w:t>
      </w:r>
      <w:r w:rsidR="0072012E">
        <w:rPr>
          <w:rFonts w:ascii="Open Sans" w:hAnsi="Open Sans" w:cs="Open Sans"/>
          <w:sz w:val="20"/>
          <w:szCs w:val="20"/>
        </w:rPr>
        <w:t xml:space="preserve"> 11,19</w:t>
      </w:r>
      <w:r w:rsidR="00E63A6D" w:rsidRPr="00992E71">
        <w:rPr>
          <w:rFonts w:ascii="Open Sans" w:hAnsi="Open Sans" w:cs="Open Sans"/>
          <w:sz w:val="20"/>
          <w:szCs w:val="20"/>
        </w:rPr>
        <w:t xml:space="preserve"> EUR</w:t>
      </w:r>
      <w:r w:rsidRPr="00992E71">
        <w:rPr>
          <w:rFonts w:ascii="Open Sans" w:hAnsi="Open Sans" w:cs="Open Sans"/>
          <w:sz w:val="20"/>
          <w:szCs w:val="20"/>
        </w:rPr>
        <w:t xml:space="preserve">). </w:t>
      </w:r>
    </w:p>
    <w:p w14:paraId="13D29038" w14:textId="440D70AF" w:rsidR="000434F1" w:rsidRDefault="00696275" w:rsidP="000434F1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Čisti dobiček na delnico </w:t>
      </w:r>
      <w:r w:rsidR="008C38AC">
        <w:rPr>
          <w:rFonts w:ascii="Open Sans" w:hAnsi="Open Sans" w:cs="Open Sans"/>
          <w:sz w:val="20"/>
          <w:szCs w:val="20"/>
        </w:rPr>
        <w:t xml:space="preserve">je </w:t>
      </w:r>
      <w:r w:rsidR="00E63A6D" w:rsidRPr="00992E71">
        <w:rPr>
          <w:rFonts w:ascii="Open Sans" w:hAnsi="Open Sans" w:cs="Open Sans"/>
          <w:sz w:val="20"/>
          <w:szCs w:val="20"/>
        </w:rPr>
        <w:t>v obdobju 1.1. do</w:t>
      </w:r>
      <w:r w:rsidR="00D97CCE">
        <w:rPr>
          <w:rFonts w:ascii="Open Sans" w:hAnsi="Open Sans" w:cs="Open Sans"/>
          <w:sz w:val="20"/>
          <w:szCs w:val="20"/>
        </w:rPr>
        <w:t xml:space="preserve"> 30.6</w:t>
      </w:r>
      <w:r w:rsidR="00465C22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znaša</w:t>
      </w:r>
      <w:r w:rsidR="008C38AC">
        <w:rPr>
          <w:rFonts w:ascii="Open Sans" w:hAnsi="Open Sans" w:cs="Open Sans"/>
          <w:sz w:val="20"/>
          <w:szCs w:val="20"/>
        </w:rPr>
        <w:t>l</w:t>
      </w:r>
      <w:r w:rsidR="00045166">
        <w:rPr>
          <w:rFonts w:ascii="Open Sans" w:hAnsi="Open Sans" w:cs="Open Sans"/>
          <w:sz w:val="20"/>
          <w:szCs w:val="20"/>
        </w:rPr>
        <w:t xml:space="preserve"> </w:t>
      </w:r>
      <w:r w:rsidR="00D97CCE">
        <w:rPr>
          <w:rFonts w:ascii="Open Sans" w:hAnsi="Open Sans" w:cs="Open Sans"/>
          <w:sz w:val="20"/>
          <w:szCs w:val="20"/>
        </w:rPr>
        <w:t>0,56</w:t>
      </w:r>
      <w:r w:rsidR="00E63A6D" w:rsidRPr="00992E71">
        <w:rPr>
          <w:rFonts w:ascii="Open Sans" w:hAnsi="Open Sans" w:cs="Open Sans"/>
          <w:sz w:val="20"/>
          <w:szCs w:val="20"/>
        </w:rPr>
        <w:t xml:space="preserve"> EUR</w:t>
      </w:r>
      <w:r w:rsidR="00D97CCE">
        <w:rPr>
          <w:rFonts w:ascii="Open Sans" w:hAnsi="Open Sans" w:cs="Open Sans"/>
          <w:sz w:val="20"/>
          <w:szCs w:val="20"/>
        </w:rPr>
        <w:t xml:space="preserve"> (1.1. – 30.6.2019: 0,41 EUR)</w:t>
      </w:r>
      <w:r w:rsidR="00B00F21">
        <w:rPr>
          <w:rFonts w:ascii="Open Sans" w:hAnsi="Open Sans" w:cs="Open Sans"/>
          <w:sz w:val="20"/>
          <w:szCs w:val="20"/>
        </w:rPr>
        <w:t>.</w:t>
      </w:r>
    </w:p>
    <w:p w14:paraId="32ECF658" w14:textId="77777777" w:rsidR="001D0A8E" w:rsidRPr="00992E71" w:rsidRDefault="001D0A8E" w:rsidP="000434F1">
      <w:pPr>
        <w:jc w:val="both"/>
        <w:rPr>
          <w:rFonts w:ascii="Open Sans" w:hAnsi="Open Sans" w:cs="Open Sans"/>
          <w:sz w:val="20"/>
          <w:szCs w:val="20"/>
        </w:rPr>
      </w:pPr>
    </w:p>
    <w:p w14:paraId="0FF3650D" w14:textId="77777777" w:rsidR="00785FFA" w:rsidRPr="00992E71" w:rsidRDefault="00962C1D" w:rsidP="0063458B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Ključne strateške usmeritve</w:t>
      </w:r>
      <w:r w:rsidR="00015D20" w:rsidRPr="00992E71">
        <w:rPr>
          <w:rFonts w:ascii="Open Sans" w:hAnsi="Open Sans" w:cs="Open Sans"/>
          <w:b/>
          <w:sz w:val="20"/>
          <w:szCs w:val="20"/>
        </w:rPr>
        <w:t xml:space="preserve"> družbe</w:t>
      </w:r>
    </w:p>
    <w:p w14:paraId="077859C0" w14:textId="3EB92274" w:rsidR="00EF1998" w:rsidRPr="00317B68" w:rsidRDefault="00650214" w:rsidP="00EF1998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Skladno s</w:t>
      </w:r>
      <w:r w:rsidR="00EF1998" w:rsidRPr="00317B68">
        <w:rPr>
          <w:rFonts w:ascii="Open Sans" w:hAnsi="Open Sans" w:cs="Open Sans"/>
          <w:sz w:val="20"/>
          <w:szCs w:val="20"/>
        </w:rPr>
        <w:t xml:space="preserve"> strategijo trgovske dejavnosti, sprejeto v januarju 2018, namerava družba v prihodnjem strateškem obdobju skupaj s partnerji trajno zaokrožiti in s tem aktivno sooblikovati sodobno trgovsko in gostinsko ponudbo v centru mesta Ljubljana za vse generacije.</w:t>
      </w:r>
    </w:p>
    <w:p w14:paraId="2A9508BA" w14:textId="035F1859" w:rsidR="00665120" w:rsidRDefault="00EF1998" w:rsidP="001D0A8E">
      <w:pPr>
        <w:jc w:val="both"/>
        <w:rPr>
          <w:rFonts w:ascii="Open Sans" w:hAnsi="Open Sans" w:cs="Open Sans"/>
          <w:sz w:val="20"/>
          <w:szCs w:val="20"/>
        </w:rPr>
      </w:pPr>
      <w:r w:rsidRPr="005E0409">
        <w:rPr>
          <w:rFonts w:ascii="Open Sans" w:hAnsi="Open Sans" w:cs="Open Sans"/>
          <w:sz w:val="20"/>
          <w:szCs w:val="20"/>
        </w:rPr>
        <w:t xml:space="preserve">Družba je skladno s sprejeto strategijo </w:t>
      </w:r>
      <w:r w:rsidR="00B01B9D" w:rsidRPr="005E0409">
        <w:rPr>
          <w:rFonts w:ascii="Open Sans" w:hAnsi="Open Sans" w:cs="Open Sans"/>
          <w:sz w:val="20"/>
          <w:szCs w:val="20"/>
        </w:rPr>
        <w:t xml:space="preserve">prodala in </w:t>
      </w:r>
      <w:r w:rsidRPr="005E0409">
        <w:rPr>
          <w:rFonts w:ascii="Open Sans" w:hAnsi="Open Sans" w:cs="Open Sans"/>
          <w:sz w:val="20"/>
          <w:szCs w:val="20"/>
        </w:rPr>
        <w:t>odda</w:t>
      </w:r>
      <w:r w:rsidR="00794DAF" w:rsidRPr="005E0409">
        <w:rPr>
          <w:rFonts w:ascii="Open Sans" w:hAnsi="Open Sans" w:cs="Open Sans"/>
          <w:sz w:val="20"/>
          <w:szCs w:val="20"/>
        </w:rPr>
        <w:t xml:space="preserve">la </w:t>
      </w:r>
      <w:r w:rsidR="00B01B9D" w:rsidRPr="005E0409">
        <w:rPr>
          <w:rFonts w:ascii="Open Sans" w:hAnsi="Open Sans" w:cs="Open Sans"/>
          <w:sz w:val="20"/>
          <w:szCs w:val="20"/>
        </w:rPr>
        <w:t xml:space="preserve">del </w:t>
      </w:r>
      <w:r w:rsidRPr="005E0409">
        <w:rPr>
          <w:rFonts w:ascii="Open Sans" w:hAnsi="Open Sans" w:cs="Open Sans"/>
          <w:sz w:val="20"/>
          <w:szCs w:val="20"/>
        </w:rPr>
        <w:t>nepremičnin v lasti družbe, ki jih je doslej uporabljala za opravljanje lastne trgov</w:t>
      </w:r>
      <w:r w:rsidR="00B01B9D" w:rsidRPr="005E0409">
        <w:rPr>
          <w:rFonts w:ascii="Open Sans" w:hAnsi="Open Sans" w:cs="Open Sans"/>
          <w:sz w:val="20"/>
          <w:szCs w:val="20"/>
        </w:rPr>
        <w:t>inske</w:t>
      </w:r>
      <w:r w:rsidRPr="005E0409">
        <w:rPr>
          <w:rFonts w:ascii="Open Sans" w:hAnsi="Open Sans" w:cs="Open Sans"/>
          <w:sz w:val="20"/>
          <w:szCs w:val="20"/>
        </w:rPr>
        <w:t xml:space="preserve"> dejavnosti</w:t>
      </w:r>
      <w:r w:rsidR="00B01B9D" w:rsidRPr="005E0409">
        <w:rPr>
          <w:rFonts w:ascii="Open Sans" w:hAnsi="Open Sans" w:cs="Open Sans"/>
          <w:sz w:val="20"/>
          <w:szCs w:val="20"/>
        </w:rPr>
        <w:t>. Družba bo še naprej strmela k povečevanju dobičkonosnosti tako nepremičninske kot trgovinske dejavnosti družbe.</w:t>
      </w:r>
    </w:p>
    <w:p w14:paraId="7235CFBE" w14:textId="77777777" w:rsidR="001266D0" w:rsidRDefault="001266D0" w:rsidP="001D0A8E">
      <w:pPr>
        <w:jc w:val="both"/>
        <w:rPr>
          <w:rFonts w:ascii="Open Sans" w:hAnsi="Open Sans" w:cs="Open Sans"/>
          <w:sz w:val="20"/>
          <w:szCs w:val="20"/>
        </w:rPr>
      </w:pPr>
    </w:p>
    <w:p w14:paraId="156F9BD2" w14:textId="77777777" w:rsidR="001266D0" w:rsidRDefault="001266D0" w:rsidP="001D0A8E">
      <w:pPr>
        <w:jc w:val="both"/>
        <w:rPr>
          <w:rFonts w:ascii="Open Sans" w:hAnsi="Open Sans" w:cs="Open Sans"/>
          <w:sz w:val="20"/>
          <w:szCs w:val="20"/>
        </w:rPr>
      </w:pPr>
    </w:p>
    <w:p w14:paraId="75B97B10" w14:textId="77777777" w:rsidR="001266D0" w:rsidRPr="001D0A8E" w:rsidRDefault="001266D0" w:rsidP="001D0A8E">
      <w:pPr>
        <w:jc w:val="both"/>
        <w:rPr>
          <w:rFonts w:ascii="Open Sans" w:hAnsi="Open Sans" w:cs="Open Sans"/>
          <w:sz w:val="20"/>
          <w:szCs w:val="20"/>
        </w:rPr>
      </w:pPr>
    </w:p>
    <w:p w14:paraId="32D26E7E" w14:textId="77777777" w:rsidR="00676795" w:rsidRPr="00992E71" w:rsidRDefault="00676795" w:rsidP="00DE7229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lastRenderedPageBreak/>
        <w:t>Sistem notranjih kontrol in revizija</w:t>
      </w:r>
    </w:p>
    <w:p w14:paraId="4DE59EE1" w14:textId="77777777" w:rsidR="00767E55" w:rsidRPr="00992E71" w:rsidRDefault="007A62B5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Družba ima vzpostavljen sistem notranjih kontrol, ki zagotavlja učinkovitost delovanja, zanesljivost računovodskega poročanja in skladnost poslovanja z veljavno zakonodajo.</w:t>
      </w:r>
      <w:r w:rsidR="00767E55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7D0D0609" w14:textId="77777777" w:rsidR="00DE7229" w:rsidRPr="00992E71" w:rsidRDefault="00767E55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Pravilnost, popolnost in resničnost računovodskega poročanja se zagotavlja z izvajanjem notranjih kontrol ob evidentiranju poslovnih dogodkov. Zagotovljena je ustrezna razmejitev dolžnosti in odgovornosti.</w:t>
      </w:r>
      <w:r w:rsidR="00F7576C" w:rsidRPr="00992E71">
        <w:rPr>
          <w:rFonts w:ascii="Open Sans" w:hAnsi="Open Sans" w:cs="Open Sans"/>
          <w:sz w:val="20"/>
          <w:szCs w:val="20"/>
        </w:rPr>
        <w:t xml:space="preserve"> Računovodsko področje je informacijsko podprto, v informacijske sisteme so vgrajene sistemske kontrole.</w:t>
      </w:r>
    </w:p>
    <w:p w14:paraId="77AD8179" w14:textId="77777777" w:rsidR="00DA6069" w:rsidRPr="00992E71" w:rsidRDefault="00DA6069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V okviru nadzornega sveta deluje revizijska komisija, ki spremlja postopek računovodskega poročanja, nadzoruje neoporečnost finančnih informacij družbe, spremlja učinkovitost in uspešnost vzpostavljenih notranjih kontrol ter pripravlja priporočila za njihove izboljšave.</w:t>
      </w:r>
    </w:p>
    <w:p w14:paraId="7992A280" w14:textId="2AA819D6" w:rsidR="00DA6069" w:rsidRDefault="00DA6069" w:rsidP="00DE722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Služba notranje revizije v družbi ni vzpostavljena.</w:t>
      </w:r>
    </w:p>
    <w:p w14:paraId="325BA109" w14:textId="77777777" w:rsidR="00250DE8" w:rsidRPr="00992E71" w:rsidRDefault="00250DE8" w:rsidP="00DE7229">
      <w:pPr>
        <w:jc w:val="both"/>
        <w:rPr>
          <w:rFonts w:ascii="Open Sans" w:hAnsi="Open Sans" w:cs="Open Sans"/>
          <w:sz w:val="20"/>
          <w:szCs w:val="20"/>
        </w:rPr>
      </w:pPr>
    </w:p>
    <w:p w14:paraId="0971040F" w14:textId="77777777" w:rsidR="008B0220" w:rsidRPr="00992E71" w:rsidRDefault="00F0117D" w:rsidP="00E3254E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Spremljanje in obvladovanje tveganj</w:t>
      </w:r>
    </w:p>
    <w:p w14:paraId="44B365B3" w14:textId="78B5F72A" w:rsidR="00B424AA" w:rsidRDefault="00B424AA" w:rsidP="00D9658A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Poslovanje družbe je v prvi polovici leta potekalo pod vplivom razmer pandemije Covid-19, zato smo posebno pozornost namenili tudi spremljanju in obvladovanju tveganj, povezanih s pandemijo.</w:t>
      </w:r>
    </w:p>
    <w:p w14:paraId="4FB57B28" w14:textId="315164C3" w:rsidR="006F41E2" w:rsidRPr="00992E71" w:rsidRDefault="006F41E2" w:rsidP="002C6B1D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Družba NAMA </w:t>
      </w:r>
      <w:proofErr w:type="spellStart"/>
      <w:r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Pr="00992E71">
        <w:rPr>
          <w:rFonts w:ascii="Open Sans" w:hAnsi="Open Sans" w:cs="Open Sans"/>
          <w:sz w:val="20"/>
          <w:szCs w:val="20"/>
        </w:rPr>
        <w:t>. Ljubljana se pri svojem poslovanju srečuje z naslednjimi tveganji:</w:t>
      </w:r>
    </w:p>
    <w:p w14:paraId="004280DB" w14:textId="77777777" w:rsidR="00CE3F86" w:rsidRPr="00992E71" w:rsidRDefault="00654BB8" w:rsidP="00224BB1">
      <w:pPr>
        <w:pStyle w:val="Odstavekseznama"/>
        <w:numPr>
          <w:ilvl w:val="0"/>
          <w:numId w:val="13"/>
        </w:num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Poslovna tveganja (prodajna tveganja, nabavna tveganja</w:t>
      </w:r>
      <w:r w:rsidR="00BF4174" w:rsidRPr="00992E71">
        <w:rPr>
          <w:rFonts w:ascii="Open Sans" w:hAnsi="Open Sans" w:cs="Open Sans"/>
          <w:sz w:val="20"/>
          <w:szCs w:val="20"/>
        </w:rPr>
        <w:t>)</w:t>
      </w:r>
      <w:r w:rsidR="006F41E2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12560470" w14:textId="77777777" w:rsidR="00EE09CF" w:rsidRPr="00992E71" w:rsidRDefault="00EE09CF" w:rsidP="00224BB1">
      <w:pPr>
        <w:pStyle w:val="Odstavekseznama"/>
        <w:numPr>
          <w:ilvl w:val="0"/>
          <w:numId w:val="13"/>
        </w:num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Finančna tveganja (kreditno tveganje, likvidnostno tveganje</w:t>
      </w:r>
      <w:r w:rsidR="00397667" w:rsidRPr="00992E71">
        <w:rPr>
          <w:rFonts w:ascii="Open Sans" w:hAnsi="Open Sans" w:cs="Open Sans"/>
          <w:sz w:val="20"/>
          <w:szCs w:val="20"/>
        </w:rPr>
        <w:t xml:space="preserve"> in tveganje plačilne sposobnosti</w:t>
      </w:r>
      <w:r w:rsidRPr="00992E71">
        <w:rPr>
          <w:rFonts w:ascii="Open Sans" w:hAnsi="Open Sans" w:cs="Open Sans"/>
          <w:sz w:val="20"/>
          <w:szCs w:val="20"/>
        </w:rPr>
        <w:t>, tržna tveganja).</w:t>
      </w:r>
    </w:p>
    <w:p w14:paraId="16CA753B" w14:textId="77777777" w:rsidR="002D7BF1" w:rsidRDefault="00CD2837" w:rsidP="00165CE6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Prodajno tveganje</w:t>
      </w:r>
      <w:r w:rsidR="00FA786E" w:rsidRPr="00992E71">
        <w:rPr>
          <w:rFonts w:ascii="Open Sans" w:hAnsi="Open Sans" w:cs="Open Sans"/>
          <w:sz w:val="20"/>
          <w:szCs w:val="20"/>
        </w:rPr>
        <w:t xml:space="preserve"> je tveganje, da družba</w:t>
      </w:r>
      <w:r w:rsidRPr="00992E71">
        <w:rPr>
          <w:rFonts w:ascii="Open Sans" w:hAnsi="Open Sans" w:cs="Open Sans"/>
          <w:sz w:val="20"/>
          <w:szCs w:val="20"/>
        </w:rPr>
        <w:t xml:space="preserve"> </w:t>
      </w:r>
      <w:r w:rsidR="009D5F6C">
        <w:rPr>
          <w:rFonts w:ascii="Open Sans" w:hAnsi="Open Sans" w:cs="Open Sans"/>
          <w:sz w:val="20"/>
          <w:szCs w:val="20"/>
        </w:rPr>
        <w:t xml:space="preserve">trgovskega blaga </w:t>
      </w:r>
      <w:r w:rsidR="00C74B89" w:rsidRPr="00992E71">
        <w:rPr>
          <w:rFonts w:ascii="Open Sans" w:hAnsi="Open Sans" w:cs="Open Sans"/>
          <w:sz w:val="20"/>
          <w:szCs w:val="20"/>
        </w:rPr>
        <w:t>ne bo sposobna uspešno prodati. Tveganje</w:t>
      </w:r>
      <w:r w:rsidR="00165CE6" w:rsidRPr="00992E71">
        <w:rPr>
          <w:rFonts w:ascii="Open Sans" w:hAnsi="Open Sans" w:cs="Open Sans"/>
          <w:sz w:val="20"/>
          <w:szCs w:val="20"/>
        </w:rPr>
        <w:t xml:space="preserve"> je povezano z vedenjskimi navadami kupcev, močjo konkurentov in</w:t>
      </w:r>
      <w:r w:rsidR="00C74B89" w:rsidRPr="00992E71">
        <w:rPr>
          <w:rFonts w:ascii="Open Sans" w:hAnsi="Open Sans" w:cs="Open Sans"/>
          <w:sz w:val="20"/>
          <w:szCs w:val="20"/>
        </w:rPr>
        <w:t xml:space="preserve"> stabilnostjo</w:t>
      </w:r>
      <w:r w:rsidR="00165CE6" w:rsidRPr="00992E71">
        <w:rPr>
          <w:rFonts w:ascii="Open Sans" w:hAnsi="Open Sans" w:cs="Open Sans"/>
          <w:sz w:val="20"/>
          <w:szCs w:val="20"/>
        </w:rPr>
        <w:t xml:space="preserve"> trgov.</w:t>
      </w:r>
      <w:r w:rsidR="00C74B89" w:rsidRPr="00992E71">
        <w:rPr>
          <w:rFonts w:ascii="Open Sans" w:hAnsi="Open Sans" w:cs="Open Sans"/>
          <w:sz w:val="20"/>
          <w:szCs w:val="20"/>
        </w:rPr>
        <w:t xml:space="preserve"> </w:t>
      </w:r>
      <w:r w:rsidRPr="00992E71">
        <w:rPr>
          <w:rFonts w:ascii="Open Sans" w:hAnsi="Open Sans" w:cs="Open Sans"/>
          <w:sz w:val="20"/>
          <w:szCs w:val="20"/>
        </w:rPr>
        <w:t xml:space="preserve">Tveganje družba obvladuje s spremljanjem strukture kupcev, </w:t>
      </w:r>
      <w:r w:rsidR="007C3C5A" w:rsidRPr="00992E71">
        <w:rPr>
          <w:rFonts w:ascii="Open Sans" w:hAnsi="Open Sans" w:cs="Open Sans"/>
          <w:sz w:val="20"/>
          <w:szCs w:val="20"/>
        </w:rPr>
        <w:t>spremljanjem odzivov trga</w:t>
      </w:r>
      <w:r w:rsidR="00CD520A" w:rsidRPr="00992E71">
        <w:rPr>
          <w:rFonts w:ascii="Open Sans" w:hAnsi="Open Sans" w:cs="Open Sans"/>
          <w:sz w:val="20"/>
          <w:szCs w:val="20"/>
        </w:rPr>
        <w:t>, spremljanjem aktivnosti konkurentov</w:t>
      </w:r>
      <w:r w:rsidR="007C3C5A" w:rsidRPr="00992E71">
        <w:rPr>
          <w:rFonts w:ascii="Open Sans" w:hAnsi="Open Sans" w:cs="Open Sans"/>
          <w:sz w:val="20"/>
          <w:szCs w:val="20"/>
        </w:rPr>
        <w:t xml:space="preserve"> in</w:t>
      </w:r>
      <w:r w:rsidRPr="00992E71">
        <w:rPr>
          <w:rFonts w:ascii="Open Sans" w:hAnsi="Open Sans" w:cs="Open Sans"/>
          <w:sz w:val="20"/>
          <w:szCs w:val="20"/>
        </w:rPr>
        <w:t xml:space="preserve"> ustreznimi trženjskimi strategijami.</w:t>
      </w:r>
      <w:r w:rsidR="00E31AA5">
        <w:rPr>
          <w:rFonts w:ascii="Open Sans" w:hAnsi="Open Sans" w:cs="Open Sans"/>
          <w:sz w:val="20"/>
          <w:szCs w:val="20"/>
        </w:rPr>
        <w:t xml:space="preserve"> </w:t>
      </w:r>
    </w:p>
    <w:p w14:paraId="08F4FCFB" w14:textId="1679D486" w:rsidR="00EE09CF" w:rsidRPr="00992E71" w:rsidRDefault="009D5F6C" w:rsidP="00165CE6">
      <w:pPr>
        <w:jc w:val="both"/>
        <w:rPr>
          <w:rFonts w:ascii="Open Sans" w:hAnsi="Open Sans" w:cs="Open Sans"/>
          <w:sz w:val="20"/>
          <w:szCs w:val="20"/>
        </w:rPr>
      </w:pPr>
      <w:r w:rsidRPr="00D9658A">
        <w:rPr>
          <w:rFonts w:ascii="Open Sans" w:hAnsi="Open Sans" w:cs="Open Sans"/>
          <w:sz w:val="20"/>
          <w:szCs w:val="20"/>
        </w:rPr>
        <w:t xml:space="preserve">Prodajno tveganje </w:t>
      </w:r>
      <w:r w:rsidR="002D7BF1" w:rsidRPr="00D9658A">
        <w:rPr>
          <w:rFonts w:ascii="Open Sans" w:hAnsi="Open Sans" w:cs="Open Sans"/>
          <w:sz w:val="20"/>
          <w:szCs w:val="20"/>
        </w:rPr>
        <w:t xml:space="preserve">družbe </w:t>
      </w:r>
      <w:r w:rsidRPr="00D9658A">
        <w:rPr>
          <w:rFonts w:ascii="Open Sans" w:hAnsi="Open Sans" w:cs="Open Sans"/>
          <w:sz w:val="20"/>
          <w:szCs w:val="20"/>
        </w:rPr>
        <w:t xml:space="preserve">je povezano tudi z epidemiološko sliko v Sloveniji, saj v primeru zahteve Vlade Republike Slovenije po zaprtju </w:t>
      </w:r>
      <w:r w:rsidR="00AE6A4F" w:rsidRPr="00D9658A">
        <w:rPr>
          <w:rFonts w:ascii="Open Sans" w:hAnsi="Open Sans" w:cs="Open Sans"/>
          <w:sz w:val="20"/>
          <w:szCs w:val="20"/>
        </w:rPr>
        <w:t>maloprodajnih</w:t>
      </w:r>
      <w:r w:rsidRPr="00D9658A">
        <w:rPr>
          <w:rFonts w:ascii="Open Sans" w:hAnsi="Open Sans" w:cs="Open Sans"/>
          <w:sz w:val="20"/>
          <w:szCs w:val="20"/>
        </w:rPr>
        <w:t xml:space="preserve"> enot, družba svojega trgovskega blaga ne more prodati. Tveganje družba obvladuje s premišljenimi dogovori z dobavitelji o dobavah blaga ter s skrbnim upravljanjem s človeškimi viri.</w:t>
      </w:r>
    </w:p>
    <w:p w14:paraId="3999E52F" w14:textId="77777777" w:rsidR="00C74B89" w:rsidRPr="00992E71" w:rsidRDefault="005B7B61" w:rsidP="00BF4174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Nabavno tveganje je tveganje nepričakovane spremem</w:t>
      </w:r>
      <w:r w:rsidR="004A092D" w:rsidRPr="00992E71">
        <w:rPr>
          <w:rFonts w:ascii="Open Sans" w:hAnsi="Open Sans" w:cs="Open Sans"/>
          <w:sz w:val="20"/>
          <w:szCs w:val="20"/>
        </w:rPr>
        <w:t>be nabavnih cen, rokov dobave ali</w:t>
      </w:r>
      <w:r w:rsidR="000507C4" w:rsidRPr="00992E71">
        <w:rPr>
          <w:rFonts w:ascii="Open Sans" w:hAnsi="Open Sans" w:cs="Open Sans"/>
          <w:sz w:val="20"/>
          <w:szCs w:val="20"/>
        </w:rPr>
        <w:t xml:space="preserve"> kvalitete blaga</w:t>
      </w:r>
      <w:r w:rsidRPr="00992E71">
        <w:rPr>
          <w:rFonts w:ascii="Open Sans" w:hAnsi="Open Sans" w:cs="Open Sans"/>
          <w:sz w:val="20"/>
          <w:szCs w:val="20"/>
        </w:rPr>
        <w:t xml:space="preserve">. </w:t>
      </w:r>
      <w:r w:rsidR="00BF4174" w:rsidRPr="00992E71">
        <w:rPr>
          <w:rFonts w:ascii="Open Sans" w:hAnsi="Open Sans" w:cs="Open Sans"/>
          <w:sz w:val="20"/>
          <w:szCs w:val="20"/>
        </w:rPr>
        <w:t xml:space="preserve">Družba ga obvladuje </w:t>
      </w:r>
      <w:r w:rsidR="003464E0" w:rsidRPr="00992E71">
        <w:rPr>
          <w:rFonts w:ascii="Open Sans" w:hAnsi="Open Sans" w:cs="Open Sans"/>
          <w:sz w:val="20"/>
          <w:szCs w:val="20"/>
        </w:rPr>
        <w:t xml:space="preserve">z rednim spremljanjem poslovanja dobaviteljev in </w:t>
      </w:r>
      <w:r w:rsidR="00BF4174" w:rsidRPr="00992E71">
        <w:rPr>
          <w:rFonts w:ascii="Open Sans" w:hAnsi="Open Sans" w:cs="Open Sans"/>
          <w:sz w:val="20"/>
          <w:szCs w:val="20"/>
        </w:rPr>
        <w:t>s sklepa</w:t>
      </w:r>
      <w:r w:rsidR="003464E0" w:rsidRPr="00992E71">
        <w:rPr>
          <w:rFonts w:ascii="Open Sans" w:hAnsi="Open Sans" w:cs="Open Sans"/>
          <w:sz w:val="20"/>
          <w:szCs w:val="20"/>
        </w:rPr>
        <w:t>njem dolgoročnih partnerstev z njimi</w:t>
      </w:r>
      <w:r w:rsidR="00BF4174" w:rsidRPr="00992E71">
        <w:rPr>
          <w:rFonts w:ascii="Open Sans" w:hAnsi="Open Sans" w:cs="Open Sans"/>
          <w:sz w:val="20"/>
          <w:szCs w:val="20"/>
        </w:rPr>
        <w:t>.</w:t>
      </w:r>
    </w:p>
    <w:p w14:paraId="5FFA0A5B" w14:textId="19FCFEAE" w:rsidR="00307E92" w:rsidRPr="00992E71" w:rsidRDefault="007675EF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Med finančnimi tveganji je najpomembnejše kreditno tveganje. To je tveganje, da </w:t>
      </w:r>
      <w:r w:rsidR="008851FE" w:rsidRPr="00992E71">
        <w:rPr>
          <w:rFonts w:ascii="Open Sans" w:hAnsi="Open Sans" w:cs="Open Sans"/>
          <w:sz w:val="20"/>
          <w:szCs w:val="20"/>
        </w:rPr>
        <w:t xml:space="preserve">nam </w:t>
      </w:r>
      <w:r w:rsidRPr="00992E71">
        <w:rPr>
          <w:rFonts w:ascii="Open Sans" w:hAnsi="Open Sans" w:cs="Open Sans"/>
          <w:sz w:val="20"/>
          <w:szCs w:val="20"/>
        </w:rPr>
        <w:t>za</w:t>
      </w:r>
      <w:r w:rsidR="00286510" w:rsidRPr="00992E71">
        <w:rPr>
          <w:rFonts w:ascii="Open Sans" w:hAnsi="Open Sans" w:cs="Open Sans"/>
          <w:sz w:val="20"/>
          <w:szCs w:val="20"/>
        </w:rPr>
        <w:t>radi slabe kreditne sposobnosti</w:t>
      </w:r>
      <w:r w:rsidRPr="00992E71">
        <w:rPr>
          <w:rFonts w:ascii="Open Sans" w:hAnsi="Open Sans" w:cs="Open Sans"/>
          <w:sz w:val="20"/>
          <w:szCs w:val="20"/>
        </w:rPr>
        <w:t xml:space="preserve"> naši poslovni partnerji ne bodo mogli poravnati zneskov, ki nam jih dolgujejo.</w:t>
      </w:r>
      <w:r w:rsidR="008851FE" w:rsidRPr="00992E71">
        <w:rPr>
          <w:rFonts w:ascii="Open Sans" w:hAnsi="Open Sans" w:cs="Open Sans"/>
          <w:sz w:val="20"/>
          <w:szCs w:val="20"/>
        </w:rPr>
        <w:t xml:space="preserve"> Kreditno tveganje se </w:t>
      </w:r>
      <w:r w:rsidR="00E600BF" w:rsidRPr="00992E71">
        <w:rPr>
          <w:rFonts w:ascii="Open Sans" w:hAnsi="Open Sans" w:cs="Open Sans"/>
          <w:sz w:val="20"/>
          <w:szCs w:val="20"/>
        </w:rPr>
        <w:t xml:space="preserve">v družbi pojavlja v zvezi s terjatvami do kupcev </w:t>
      </w:r>
      <w:r w:rsidR="00992E71">
        <w:rPr>
          <w:rFonts w:ascii="Open Sans" w:hAnsi="Open Sans" w:cs="Open Sans"/>
          <w:sz w:val="20"/>
          <w:szCs w:val="20"/>
        </w:rPr>
        <w:t xml:space="preserve">in najemnikov ter </w:t>
      </w:r>
      <w:r w:rsidR="00E600BF" w:rsidRPr="00992E71">
        <w:rPr>
          <w:rFonts w:ascii="Open Sans" w:hAnsi="Open Sans" w:cs="Open Sans"/>
          <w:sz w:val="20"/>
          <w:szCs w:val="20"/>
        </w:rPr>
        <w:t xml:space="preserve">finančnimi naložbami. </w:t>
      </w:r>
    </w:p>
    <w:p w14:paraId="166C1FA6" w14:textId="6FFB7300" w:rsidR="00307E92" w:rsidRPr="00992E71" w:rsidRDefault="00307E92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Kreditno tveganje povezano s terjatvami do kupcev zmanjšuje dejstvo, da se pomemben del poslovanja nanaša na maloprodajo, kjer zaradi takojšnjega plačila ne prihaja do nastanka terjatev. </w:t>
      </w:r>
      <w:r w:rsidR="005647CB" w:rsidRPr="00992E71">
        <w:rPr>
          <w:rFonts w:ascii="Open Sans" w:hAnsi="Open Sans" w:cs="Open Sans"/>
          <w:sz w:val="20"/>
          <w:szCs w:val="20"/>
        </w:rPr>
        <w:t xml:space="preserve">Družba tveganje </w:t>
      </w:r>
      <w:r w:rsidR="00602580" w:rsidRPr="00992E71">
        <w:rPr>
          <w:rFonts w:ascii="Open Sans" w:hAnsi="Open Sans" w:cs="Open Sans"/>
          <w:sz w:val="20"/>
          <w:szCs w:val="20"/>
        </w:rPr>
        <w:t xml:space="preserve">neplačil s strani </w:t>
      </w:r>
      <w:r w:rsidRPr="00992E71">
        <w:rPr>
          <w:rFonts w:ascii="Open Sans" w:hAnsi="Open Sans" w:cs="Open Sans"/>
          <w:sz w:val="20"/>
          <w:szCs w:val="20"/>
        </w:rPr>
        <w:t xml:space="preserve">drugih </w:t>
      </w:r>
      <w:r w:rsidR="00602580" w:rsidRPr="00992E71">
        <w:rPr>
          <w:rFonts w:ascii="Open Sans" w:hAnsi="Open Sans" w:cs="Open Sans"/>
          <w:sz w:val="20"/>
          <w:szCs w:val="20"/>
        </w:rPr>
        <w:t xml:space="preserve">kupcev </w:t>
      </w:r>
      <w:r w:rsidR="005647CB" w:rsidRPr="00992E71">
        <w:rPr>
          <w:rFonts w:ascii="Open Sans" w:hAnsi="Open Sans" w:cs="Open Sans"/>
          <w:sz w:val="20"/>
          <w:szCs w:val="20"/>
        </w:rPr>
        <w:t>obvladuje</w:t>
      </w:r>
      <w:r w:rsidR="006F4B74" w:rsidRPr="00992E71">
        <w:rPr>
          <w:rFonts w:ascii="Open Sans" w:hAnsi="Open Sans" w:cs="Open Sans"/>
          <w:sz w:val="20"/>
          <w:szCs w:val="20"/>
        </w:rPr>
        <w:t xml:space="preserve"> s spremljanjem bonitete novih poslovnih partnerjev, aktivnim spremljanjem</w:t>
      </w:r>
      <w:r w:rsidR="00602580" w:rsidRPr="00992E71">
        <w:rPr>
          <w:rFonts w:ascii="Open Sans" w:hAnsi="Open Sans" w:cs="Open Sans"/>
          <w:sz w:val="20"/>
          <w:szCs w:val="20"/>
        </w:rPr>
        <w:t xml:space="preserve"> </w:t>
      </w:r>
      <w:r w:rsidR="00DA7FD1" w:rsidRPr="00992E71">
        <w:rPr>
          <w:rFonts w:ascii="Open Sans" w:hAnsi="Open Sans" w:cs="Open Sans"/>
          <w:sz w:val="20"/>
          <w:szCs w:val="20"/>
        </w:rPr>
        <w:t>kreditne sposobnosti</w:t>
      </w:r>
      <w:r w:rsidR="006F4B74" w:rsidRPr="00992E71">
        <w:rPr>
          <w:rFonts w:ascii="Open Sans" w:hAnsi="Open Sans" w:cs="Open Sans"/>
          <w:sz w:val="20"/>
          <w:szCs w:val="20"/>
        </w:rPr>
        <w:t xml:space="preserve"> obstoječih poslovnih partnerjev</w:t>
      </w:r>
      <w:r w:rsidR="005647CB" w:rsidRPr="00992E71">
        <w:rPr>
          <w:rFonts w:ascii="Open Sans" w:hAnsi="Open Sans" w:cs="Open Sans"/>
          <w:sz w:val="20"/>
          <w:szCs w:val="20"/>
        </w:rPr>
        <w:t>,</w:t>
      </w:r>
      <w:r w:rsidR="006F4B74" w:rsidRPr="00992E71">
        <w:rPr>
          <w:rFonts w:ascii="Open Sans" w:hAnsi="Open Sans" w:cs="Open Sans"/>
          <w:sz w:val="20"/>
          <w:szCs w:val="20"/>
        </w:rPr>
        <w:t xml:space="preserve"> limiti dobave posameznemu kupcu pred pl</w:t>
      </w:r>
      <w:r w:rsidR="00924F38">
        <w:rPr>
          <w:rFonts w:ascii="Open Sans" w:hAnsi="Open Sans" w:cs="Open Sans"/>
          <w:sz w:val="20"/>
          <w:szCs w:val="20"/>
        </w:rPr>
        <w:t>ačilom obveznosti,</w:t>
      </w:r>
      <w:r w:rsidR="005647CB" w:rsidRPr="00992E71">
        <w:rPr>
          <w:rFonts w:ascii="Open Sans" w:hAnsi="Open Sans" w:cs="Open Sans"/>
          <w:sz w:val="20"/>
          <w:szCs w:val="20"/>
        </w:rPr>
        <w:t xml:space="preserve"> sistematičnim spremljanjem </w:t>
      </w:r>
      <w:r w:rsidR="00DA7FD1" w:rsidRPr="00992E71">
        <w:rPr>
          <w:rFonts w:ascii="Open Sans" w:hAnsi="Open Sans" w:cs="Open Sans"/>
          <w:sz w:val="20"/>
          <w:szCs w:val="20"/>
        </w:rPr>
        <w:t xml:space="preserve">odprtih </w:t>
      </w:r>
      <w:r w:rsidR="00DA7FD1" w:rsidRPr="00992E71">
        <w:rPr>
          <w:rFonts w:ascii="Open Sans" w:hAnsi="Open Sans" w:cs="Open Sans"/>
          <w:sz w:val="20"/>
          <w:szCs w:val="20"/>
        </w:rPr>
        <w:lastRenderedPageBreak/>
        <w:t>terjatev</w:t>
      </w:r>
      <w:r w:rsidR="00464F98" w:rsidRPr="00992E71">
        <w:rPr>
          <w:rFonts w:ascii="Open Sans" w:hAnsi="Open Sans" w:cs="Open Sans"/>
          <w:sz w:val="20"/>
          <w:szCs w:val="20"/>
        </w:rPr>
        <w:t xml:space="preserve"> in</w:t>
      </w:r>
      <w:r w:rsidR="00221906" w:rsidRPr="00992E71">
        <w:rPr>
          <w:rFonts w:ascii="Open Sans" w:hAnsi="Open Sans" w:cs="Open Sans"/>
          <w:sz w:val="20"/>
          <w:szCs w:val="20"/>
        </w:rPr>
        <w:t xml:space="preserve"> sistemom rednega opominjanja</w:t>
      </w:r>
      <w:r w:rsidR="00464F98" w:rsidRPr="00992E71">
        <w:rPr>
          <w:rFonts w:ascii="Open Sans" w:hAnsi="Open Sans" w:cs="Open Sans"/>
          <w:sz w:val="20"/>
          <w:szCs w:val="20"/>
        </w:rPr>
        <w:t xml:space="preserve">. V primeru poslovnih odnosov z najemniki se pred sklenitvijo pogodbe pridobijo ustrezna zavarovanja. </w:t>
      </w:r>
    </w:p>
    <w:p w14:paraId="4D06EDEF" w14:textId="77777777" w:rsidR="007675EF" w:rsidRPr="00992E71" w:rsidRDefault="002F4BA6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Kreditno tveganje povezano s finančnimi naložbami družba obvladuje s politiko nalaganja sredstev </w:t>
      </w:r>
      <w:r w:rsidR="008076B2" w:rsidRPr="00992E71">
        <w:rPr>
          <w:rFonts w:ascii="Open Sans" w:hAnsi="Open Sans" w:cs="Open Sans"/>
          <w:sz w:val="20"/>
          <w:szCs w:val="20"/>
        </w:rPr>
        <w:t>v prvovrstne finančne instrumente</w:t>
      </w:r>
      <w:r w:rsidR="00307E92" w:rsidRPr="00992E71">
        <w:rPr>
          <w:rFonts w:ascii="Open Sans" w:hAnsi="Open Sans" w:cs="Open Sans"/>
          <w:sz w:val="20"/>
          <w:szCs w:val="20"/>
        </w:rPr>
        <w:t>.</w:t>
      </w:r>
    </w:p>
    <w:p w14:paraId="1DE2C05E" w14:textId="77777777" w:rsidR="00397667" w:rsidRPr="00992E71" w:rsidRDefault="00307E92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Likvidnostno tveganje je tveganje, da družba </w:t>
      </w:r>
      <w:r w:rsidR="00871796" w:rsidRPr="00992E71">
        <w:rPr>
          <w:rFonts w:ascii="Open Sans" w:hAnsi="Open Sans" w:cs="Open Sans"/>
          <w:sz w:val="20"/>
          <w:szCs w:val="20"/>
        </w:rPr>
        <w:t>zaradi neusklajenosti med</w:t>
      </w:r>
      <w:r w:rsidR="00656928" w:rsidRPr="00992E71">
        <w:rPr>
          <w:rFonts w:ascii="Open Sans" w:hAnsi="Open Sans" w:cs="Open Sans"/>
          <w:sz w:val="20"/>
          <w:szCs w:val="20"/>
        </w:rPr>
        <w:t xml:space="preserve"> dospelimi sredstvi in</w:t>
      </w:r>
      <w:r w:rsidR="00871796" w:rsidRPr="00992E71">
        <w:rPr>
          <w:rFonts w:ascii="Open Sans" w:hAnsi="Open Sans" w:cs="Open Sans"/>
          <w:sz w:val="20"/>
          <w:szCs w:val="20"/>
        </w:rPr>
        <w:t xml:space="preserve"> obveznostmi ne bo imela zadosti likvidnih sredstev za poplačilo zapadlih obveznosti.</w:t>
      </w:r>
      <w:r w:rsidR="00656928" w:rsidRPr="00992E71">
        <w:rPr>
          <w:rFonts w:ascii="Open Sans" w:hAnsi="Open Sans" w:cs="Open Sans"/>
          <w:sz w:val="20"/>
          <w:szCs w:val="20"/>
        </w:rPr>
        <w:t xml:space="preserve"> Ker se pomemben del poslovanja nanaša na maloprodajo s takojšnjim plačilom, likvidnostno tveganje za družbo ni visoko.</w:t>
      </w:r>
      <w:r w:rsidR="00B663BE" w:rsidRPr="00992E71">
        <w:rPr>
          <w:rFonts w:ascii="Open Sans" w:hAnsi="Open Sans" w:cs="Open Sans"/>
          <w:sz w:val="20"/>
          <w:szCs w:val="20"/>
        </w:rPr>
        <w:t xml:space="preserve"> Likvidnostno tveganje družba obvladuje z </w:t>
      </w:r>
      <w:r w:rsidR="00397667" w:rsidRPr="00992E71">
        <w:rPr>
          <w:rFonts w:ascii="Open Sans" w:hAnsi="Open Sans" w:cs="Open Sans"/>
          <w:sz w:val="20"/>
          <w:szCs w:val="20"/>
        </w:rPr>
        <w:t xml:space="preserve">rednim načrtovanjem </w:t>
      </w:r>
      <w:r w:rsidR="00ED69DB" w:rsidRPr="00992E71">
        <w:rPr>
          <w:rFonts w:ascii="Open Sans" w:hAnsi="Open Sans" w:cs="Open Sans"/>
          <w:sz w:val="20"/>
          <w:szCs w:val="20"/>
        </w:rPr>
        <w:t>in usklajevanjem denarnih tokov</w:t>
      </w:r>
      <w:r w:rsidR="00397667" w:rsidRPr="00992E71">
        <w:rPr>
          <w:rFonts w:ascii="Open Sans" w:hAnsi="Open Sans" w:cs="Open Sans"/>
          <w:sz w:val="20"/>
          <w:szCs w:val="20"/>
        </w:rPr>
        <w:t xml:space="preserve">. </w:t>
      </w:r>
      <w:r w:rsidR="00A352CF" w:rsidRPr="00992E71">
        <w:rPr>
          <w:rFonts w:ascii="Open Sans" w:hAnsi="Open Sans" w:cs="Open Sans"/>
          <w:sz w:val="20"/>
          <w:szCs w:val="20"/>
        </w:rPr>
        <w:t>Poleg tega ima družba z bankami sklenjene po</w:t>
      </w:r>
      <w:r w:rsidR="00972EBF" w:rsidRPr="00992E71">
        <w:rPr>
          <w:rFonts w:ascii="Open Sans" w:hAnsi="Open Sans" w:cs="Open Sans"/>
          <w:sz w:val="20"/>
          <w:szCs w:val="20"/>
        </w:rPr>
        <w:t xml:space="preserve">godbe, na podlagi katerih lahko v zelo kratkem času </w:t>
      </w:r>
      <w:r w:rsidR="00A352CF" w:rsidRPr="00992E71">
        <w:rPr>
          <w:rFonts w:ascii="Open Sans" w:hAnsi="Open Sans" w:cs="Open Sans"/>
          <w:sz w:val="20"/>
          <w:szCs w:val="20"/>
        </w:rPr>
        <w:t xml:space="preserve">črpa kratkoročna sredstva v primeru povečanih potreb.  </w:t>
      </w:r>
    </w:p>
    <w:p w14:paraId="1EFAA81F" w14:textId="77777777" w:rsidR="00397667" w:rsidRPr="00992E71" w:rsidRDefault="00397667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Ker tekoči prilivi zadoščajo za redno pokrivanje tekočih poslovnih obveznosti, tudi tveganje plačilne sposob</w:t>
      </w:r>
      <w:r w:rsidR="00844879" w:rsidRPr="00992E71">
        <w:rPr>
          <w:rFonts w:ascii="Open Sans" w:hAnsi="Open Sans" w:cs="Open Sans"/>
          <w:sz w:val="20"/>
          <w:szCs w:val="20"/>
        </w:rPr>
        <w:t xml:space="preserve">nosti za družbo ni visoko. </w:t>
      </w:r>
    </w:p>
    <w:p w14:paraId="11107C2A" w14:textId="77777777" w:rsidR="00397667" w:rsidRPr="00992E71" w:rsidRDefault="00397667" w:rsidP="008851FE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tržna tveganja</w:t>
      </w:r>
      <w:r w:rsidR="00190A49" w:rsidRPr="00992E71">
        <w:rPr>
          <w:rFonts w:ascii="Open Sans" w:hAnsi="Open Sans" w:cs="Open Sans"/>
          <w:sz w:val="20"/>
          <w:szCs w:val="20"/>
        </w:rPr>
        <w:t xml:space="preserve"> uvrščamo obrestno tveganje, valutn</w:t>
      </w:r>
      <w:r w:rsidR="003C6C4E" w:rsidRPr="00992E71">
        <w:rPr>
          <w:rFonts w:ascii="Open Sans" w:hAnsi="Open Sans" w:cs="Open Sans"/>
          <w:sz w:val="20"/>
          <w:szCs w:val="20"/>
        </w:rPr>
        <w:t xml:space="preserve">o tveganje in tveganje </w:t>
      </w:r>
      <w:r w:rsidR="00BC72E9" w:rsidRPr="00992E71">
        <w:rPr>
          <w:rFonts w:ascii="Open Sans" w:hAnsi="Open Sans" w:cs="Open Sans"/>
          <w:sz w:val="20"/>
          <w:szCs w:val="20"/>
        </w:rPr>
        <w:t>iz naslova trgovanja z vrednostnimi papirji</w:t>
      </w:r>
      <w:r w:rsidR="003C6C4E" w:rsidRPr="00992E71">
        <w:rPr>
          <w:rFonts w:ascii="Open Sans" w:hAnsi="Open Sans" w:cs="Open Sans"/>
          <w:sz w:val="20"/>
          <w:szCs w:val="20"/>
        </w:rPr>
        <w:t>.</w:t>
      </w:r>
      <w:r w:rsidR="00BC72E9" w:rsidRPr="00992E71">
        <w:rPr>
          <w:rFonts w:ascii="Open Sans" w:hAnsi="Open Sans" w:cs="Open Sans"/>
          <w:sz w:val="20"/>
          <w:szCs w:val="20"/>
        </w:rPr>
        <w:t xml:space="preserve"> Izpostavljenost obrestnemu tveganju za družbo je zelo nizka, saj družba svojega poslovanja ne financira z dolgovi</w:t>
      </w:r>
      <w:r w:rsidR="00890C15" w:rsidRPr="00992E71">
        <w:rPr>
          <w:rFonts w:ascii="Open Sans" w:hAnsi="Open Sans" w:cs="Open Sans"/>
          <w:sz w:val="20"/>
          <w:szCs w:val="20"/>
        </w:rPr>
        <w:t xml:space="preserve">, prav tako </w:t>
      </w:r>
      <w:r w:rsidR="00890C15" w:rsidRPr="003F766A">
        <w:rPr>
          <w:rFonts w:ascii="Open Sans" w:hAnsi="Open Sans" w:cs="Open Sans"/>
          <w:sz w:val="20"/>
          <w:szCs w:val="20"/>
        </w:rPr>
        <w:t xml:space="preserve">pa nima pomembnih zneskov </w:t>
      </w:r>
      <w:r w:rsidR="00890C15" w:rsidRPr="00992E71">
        <w:rPr>
          <w:rFonts w:ascii="Open Sans" w:hAnsi="Open Sans" w:cs="Open Sans"/>
          <w:sz w:val="20"/>
          <w:szCs w:val="20"/>
        </w:rPr>
        <w:t>danih posojil</w:t>
      </w:r>
      <w:r w:rsidR="00BC72E9" w:rsidRPr="00992E71">
        <w:rPr>
          <w:rFonts w:ascii="Open Sans" w:hAnsi="Open Sans" w:cs="Open Sans"/>
          <w:sz w:val="20"/>
          <w:szCs w:val="20"/>
        </w:rPr>
        <w:t xml:space="preserve">. </w:t>
      </w:r>
      <w:r w:rsidR="00890C15" w:rsidRPr="00992E71">
        <w:rPr>
          <w:rFonts w:ascii="Open Sans" w:hAnsi="Open Sans" w:cs="Open Sans"/>
          <w:sz w:val="20"/>
          <w:szCs w:val="20"/>
        </w:rPr>
        <w:t xml:space="preserve">Družba </w:t>
      </w:r>
      <w:r w:rsidR="00BC72E9" w:rsidRPr="00992E71">
        <w:rPr>
          <w:rFonts w:ascii="Open Sans" w:hAnsi="Open Sans" w:cs="Open Sans"/>
          <w:sz w:val="20"/>
          <w:szCs w:val="20"/>
        </w:rPr>
        <w:t xml:space="preserve">posluje </w:t>
      </w:r>
      <w:r w:rsidR="00890C15" w:rsidRPr="00992E71">
        <w:rPr>
          <w:rFonts w:ascii="Open Sans" w:hAnsi="Open Sans" w:cs="Open Sans"/>
          <w:sz w:val="20"/>
          <w:szCs w:val="20"/>
        </w:rPr>
        <w:t xml:space="preserve">večinoma </w:t>
      </w:r>
      <w:r w:rsidR="00BC72E9" w:rsidRPr="00992E71">
        <w:rPr>
          <w:rFonts w:ascii="Open Sans" w:hAnsi="Open Sans" w:cs="Open Sans"/>
          <w:sz w:val="20"/>
          <w:szCs w:val="20"/>
        </w:rPr>
        <w:t>v domači valuti</w:t>
      </w:r>
      <w:r w:rsidR="00890C15" w:rsidRPr="00992E71">
        <w:rPr>
          <w:rFonts w:ascii="Open Sans" w:hAnsi="Open Sans" w:cs="Open Sans"/>
          <w:sz w:val="20"/>
          <w:szCs w:val="20"/>
        </w:rPr>
        <w:t>, zato valutno tveganje ocenjujemo kot nizko</w:t>
      </w:r>
      <w:r w:rsidR="00BC72E9" w:rsidRPr="00992E71">
        <w:rPr>
          <w:rFonts w:ascii="Open Sans" w:hAnsi="Open Sans" w:cs="Open Sans"/>
          <w:sz w:val="20"/>
          <w:szCs w:val="20"/>
        </w:rPr>
        <w:t>.</w:t>
      </w:r>
      <w:r w:rsidR="003C6C4E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7F732DE3" w14:textId="7416B4CF" w:rsidR="00ED276F" w:rsidRDefault="007859DE" w:rsidP="00BB0B99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 preostalih</w:t>
      </w:r>
      <w:r w:rsidR="00B424AA">
        <w:rPr>
          <w:rFonts w:ascii="Open Sans" w:hAnsi="Open Sans" w:cs="Open Sans"/>
          <w:sz w:val="20"/>
          <w:szCs w:val="20"/>
        </w:rPr>
        <w:t xml:space="preserve"> šestih</w:t>
      </w:r>
      <w:r w:rsidR="00A56937">
        <w:rPr>
          <w:rFonts w:ascii="Open Sans" w:hAnsi="Open Sans" w:cs="Open Sans"/>
          <w:sz w:val="20"/>
          <w:szCs w:val="20"/>
        </w:rPr>
        <w:t xml:space="preserve"> mesecih leta 2020</w:t>
      </w:r>
      <w:r w:rsidR="00CE3F86" w:rsidRPr="00992E71">
        <w:rPr>
          <w:rFonts w:ascii="Open Sans" w:hAnsi="Open Sans" w:cs="Open Sans"/>
          <w:sz w:val="20"/>
          <w:szCs w:val="20"/>
        </w:rPr>
        <w:t xml:space="preserve"> </w:t>
      </w:r>
      <w:r w:rsidR="00B424AA">
        <w:rPr>
          <w:rFonts w:ascii="Open Sans" w:hAnsi="Open Sans" w:cs="Open Sans"/>
          <w:sz w:val="20"/>
          <w:szCs w:val="20"/>
        </w:rPr>
        <w:t>bomo še naprej redno spremljali tveganja, povezana z epidemijo Covid-19 in izvajali vse potrebne ukrepe za zamejevanje okužb in varovanja zaposlenih in strank. D</w:t>
      </w:r>
      <w:r w:rsidR="00CE3F86" w:rsidRPr="00992E71">
        <w:rPr>
          <w:rFonts w:ascii="Open Sans" w:hAnsi="Open Sans" w:cs="Open Sans"/>
          <w:sz w:val="20"/>
          <w:szCs w:val="20"/>
        </w:rPr>
        <w:t xml:space="preserve">ružba ne pričakuje </w:t>
      </w:r>
      <w:r w:rsidR="00B424AA">
        <w:rPr>
          <w:rFonts w:ascii="Open Sans" w:hAnsi="Open Sans" w:cs="Open Sans"/>
          <w:sz w:val="20"/>
          <w:szCs w:val="20"/>
        </w:rPr>
        <w:t xml:space="preserve">drugih </w:t>
      </w:r>
      <w:r w:rsidR="00CE3F86" w:rsidRPr="00992E71">
        <w:rPr>
          <w:rFonts w:ascii="Open Sans" w:hAnsi="Open Sans" w:cs="Open Sans"/>
          <w:sz w:val="20"/>
          <w:szCs w:val="20"/>
        </w:rPr>
        <w:t>pomembnih sprememb v tveganjih, ki jim je izpostavljena.</w:t>
      </w:r>
    </w:p>
    <w:p w14:paraId="00FEEE3C" w14:textId="77777777" w:rsidR="001C13F7" w:rsidRPr="00992E71" w:rsidRDefault="001C13F7" w:rsidP="00BB0B99">
      <w:pPr>
        <w:jc w:val="both"/>
        <w:rPr>
          <w:rFonts w:ascii="Open Sans" w:hAnsi="Open Sans" w:cs="Open Sans"/>
          <w:sz w:val="20"/>
          <w:szCs w:val="20"/>
        </w:rPr>
      </w:pPr>
    </w:p>
    <w:p w14:paraId="45F47181" w14:textId="77777777" w:rsidR="00682356" w:rsidRPr="00992E71" w:rsidRDefault="00682356" w:rsidP="00682356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Posli s povezanimi osebami</w:t>
      </w:r>
    </w:p>
    <w:p w14:paraId="4DB33D0D" w14:textId="6F49FC3B" w:rsidR="00960F07" w:rsidRPr="00992E71" w:rsidRDefault="006A2FD2" w:rsidP="00BB0B99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Posli s povezanimi osebami se nanašajo na sklenjene zavarovalne pogodbe z družbama Zavarovalnica Triglav </w:t>
      </w:r>
      <w:proofErr w:type="spellStart"/>
      <w:r w:rsidR="00AD02B6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="00AD02B6" w:rsidRPr="00992E71">
        <w:rPr>
          <w:rFonts w:ascii="Open Sans" w:hAnsi="Open Sans" w:cs="Open Sans"/>
          <w:sz w:val="20"/>
          <w:szCs w:val="20"/>
        </w:rPr>
        <w:t xml:space="preserve">. </w:t>
      </w:r>
      <w:r w:rsidRPr="00755F4A">
        <w:rPr>
          <w:rFonts w:ascii="Open Sans" w:hAnsi="Open Sans" w:cs="Open Sans"/>
          <w:sz w:val="20"/>
          <w:szCs w:val="20"/>
        </w:rPr>
        <w:t xml:space="preserve">in </w:t>
      </w:r>
      <w:r w:rsidR="00DF78D9" w:rsidRPr="00755F4A">
        <w:rPr>
          <w:rFonts w:ascii="Open Sans" w:hAnsi="Open Sans" w:cs="Open Sans"/>
          <w:sz w:val="20"/>
          <w:szCs w:val="20"/>
        </w:rPr>
        <w:t>Generali</w:t>
      </w:r>
      <w:r w:rsidR="00861B83" w:rsidRPr="00992E71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861B83" w:rsidRPr="00992E71">
        <w:rPr>
          <w:rFonts w:ascii="Open Sans" w:hAnsi="Open Sans" w:cs="Open Sans"/>
          <w:sz w:val="20"/>
          <w:szCs w:val="20"/>
        </w:rPr>
        <w:t>d.d</w:t>
      </w:r>
      <w:proofErr w:type="spellEnd"/>
      <w:r w:rsidRPr="00992E71">
        <w:rPr>
          <w:rFonts w:ascii="Open Sans" w:hAnsi="Open Sans" w:cs="Open Sans"/>
          <w:sz w:val="20"/>
          <w:szCs w:val="20"/>
        </w:rPr>
        <w:t>.</w:t>
      </w:r>
      <w:r w:rsidR="004D06F4">
        <w:rPr>
          <w:rFonts w:ascii="Open Sans" w:hAnsi="Open Sans" w:cs="Open Sans"/>
          <w:sz w:val="20"/>
          <w:szCs w:val="20"/>
        </w:rPr>
        <w:t>.</w:t>
      </w:r>
      <w:r w:rsidRPr="00992E71">
        <w:rPr>
          <w:rFonts w:ascii="Open Sans" w:hAnsi="Open Sans" w:cs="Open Sans"/>
          <w:sz w:val="20"/>
          <w:szCs w:val="20"/>
        </w:rPr>
        <w:t xml:space="preserve"> Obseg poslov je z vidika celote računovodskih izkazov nepome</w:t>
      </w:r>
      <w:r w:rsidR="00490980">
        <w:rPr>
          <w:rFonts w:ascii="Open Sans" w:hAnsi="Open Sans" w:cs="Open Sans"/>
          <w:sz w:val="20"/>
          <w:szCs w:val="20"/>
        </w:rPr>
        <w:t>mben. V obdobju 1.1. do 30.6</w:t>
      </w:r>
      <w:r w:rsidR="002E3BB6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ni prišlo do sprememb v poslih s povezanimi osebami, ki bi pomembno vplivale na poslovanje družbe.</w:t>
      </w:r>
    </w:p>
    <w:p w14:paraId="7039F7BB" w14:textId="77777777" w:rsidR="002745A5" w:rsidRPr="00992E71" w:rsidRDefault="002745A5" w:rsidP="00BB0B99">
      <w:pPr>
        <w:jc w:val="both"/>
        <w:rPr>
          <w:rFonts w:ascii="Open Sans" w:hAnsi="Open Sans" w:cs="Open Sans"/>
          <w:sz w:val="20"/>
          <w:szCs w:val="20"/>
        </w:rPr>
      </w:pPr>
    </w:p>
    <w:p w14:paraId="7AE1C33B" w14:textId="4881AE6C" w:rsidR="00350163" w:rsidRPr="007228A0" w:rsidRDefault="00350163" w:rsidP="00960F07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7228A0">
        <w:rPr>
          <w:rFonts w:ascii="Open Sans" w:hAnsi="Open Sans" w:cs="Open Sans"/>
          <w:b/>
          <w:sz w:val="20"/>
          <w:szCs w:val="20"/>
        </w:rPr>
        <w:t>Pomembnejši poslovn</w:t>
      </w:r>
      <w:r w:rsidR="00DD7356">
        <w:rPr>
          <w:rFonts w:ascii="Open Sans" w:hAnsi="Open Sans" w:cs="Open Sans"/>
          <w:b/>
          <w:sz w:val="20"/>
          <w:szCs w:val="20"/>
        </w:rPr>
        <w:t>i dogodki v obdobju 1.1. do 30.6</w:t>
      </w:r>
      <w:r w:rsidR="00AB01B5">
        <w:rPr>
          <w:rFonts w:ascii="Open Sans" w:hAnsi="Open Sans" w:cs="Open Sans"/>
          <w:b/>
          <w:sz w:val="20"/>
          <w:szCs w:val="20"/>
        </w:rPr>
        <w:t>.2020</w:t>
      </w:r>
    </w:p>
    <w:p w14:paraId="0616DF61" w14:textId="3FE84ADA" w:rsidR="00F002EC" w:rsidRPr="005E0409" w:rsidRDefault="00F002EC" w:rsidP="001758F7">
      <w:pPr>
        <w:jc w:val="both"/>
        <w:rPr>
          <w:rFonts w:ascii="Open Sans" w:hAnsi="Open Sans" w:cs="Open Sans"/>
          <w:sz w:val="20"/>
          <w:szCs w:val="20"/>
        </w:rPr>
      </w:pPr>
      <w:r w:rsidRPr="005E0409">
        <w:rPr>
          <w:rFonts w:ascii="Open Sans" w:hAnsi="Open Sans" w:cs="Open Sans"/>
          <w:sz w:val="20"/>
          <w:szCs w:val="20"/>
        </w:rPr>
        <w:t>Konec januarja je družba pričela s prenovo pritličja veleblagovnice Ljubljana, ki je bila zaključena v zadnjem tednu februarja.</w:t>
      </w:r>
    </w:p>
    <w:p w14:paraId="4F07EFAF" w14:textId="7606EE90" w:rsidR="001758F7" w:rsidRPr="005E0409" w:rsidRDefault="000E6F6D" w:rsidP="001758F7">
      <w:pPr>
        <w:jc w:val="both"/>
        <w:rPr>
          <w:rFonts w:ascii="Open Sans" w:hAnsi="Open Sans" w:cs="Open Sans"/>
          <w:sz w:val="20"/>
          <w:szCs w:val="20"/>
        </w:rPr>
      </w:pPr>
      <w:r w:rsidRPr="005E0409">
        <w:rPr>
          <w:rFonts w:ascii="Open Sans" w:hAnsi="Open Sans" w:cs="Open Sans"/>
          <w:sz w:val="20"/>
          <w:szCs w:val="20"/>
        </w:rPr>
        <w:t>V</w:t>
      </w:r>
      <w:r w:rsidR="003B6015" w:rsidRPr="005E0409">
        <w:rPr>
          <w:rFonts w:ascii="Open Sans" w:hAnsi="Open Sans" w:cs="Open Sans"/>
          <w:sz w:val="20"/>
          <w:szCs w:val="20"/>
        </w:rPr>
        <w:t xml:space="preserve"> </w:t>
      </w:r>
      <w:r w:rsidR="00AB01B5" w:rsidRPr="005E0409">
        <w:rPr>
          <w:rFonts w:ascii="Open Sans" w:hAnsi="Open Sans" w:cs="Open Sans"/>
          <w:sz w:val="20"/>
          <w:szCs w:val="20"/>
        </w:rPr>
        <w:t>marc</w:t>
      </w:r>
      <w:r w:rsidRPr="005E0409">
        <w:rPr>
          <w:rFonts w:ascii="Open Sans" w:hAnsi="Open Sans" w:cs="Open Sans"/>
          <w:sz w:val="20"/>
          <w:szCs w:val="20"/>
        </w:rPr>
        <w:t>u</w:t>
      </w:r>
      <w:r w:rsidR="00AB01B5" w:rsidRPr="005E0409">
        <w:rPr>
          <w:rFonts w:ascii="Open Sans" w:hAnsi="Open Sans" w:cs="Open Sans"/>
          <w:sz w:val="20"/>
          <w:szCs w:val="20"/>
        </w:rPr>
        <w:t xml:space="preserve"> je družba občini</w:t>
      </w:r>
      <w:r w:rsidR="001758F7" w:rsidRPr="005E0409">
        <w:rPr>
          <w:rFonts w:ascii="Open Sans" w:hAnsi="Open Sans" w:cs="Open Sans"/>
          <w:sz w:val="20"/>
          <w:szCs w:val="20"/>
        </w:rPr>
        <w:t xml:space="preserve"> Škofja Loka </w:t>
      </w:r>
      <w:r w:rsidR="00AB01B5" w:rsidRPr="005E0409">
        <w:rPr>
          <w:rFonts w:ascii="Open Sans" w:hAnsi="Open Sans" w:cs="Open Sans"/>
          <w:sz w:val="20"/>
          <w:szCs w:val="20"/>
        </w:rPr>
        <w:t xml:space="preserve">prodala še </w:t>
      </w:r>
      <w:r w:rsidR="00046DA4" w:rsidRPr="005E0409">
        <w:rPr>
          <w:rFonts w:ascii="Open Sans" w:hAnsi="Open Sans" w:cs="Open Sans"/>
          <w:sz w:val="20"/>
          <w:szCs w:val="20"/>
        </w:rPr>
        <w:t>preostali delež</w:t>
      </w:r>
      <w:r w:rsidR="00AB01B5" w:rsidRPr="005E0409">
        <w:rPr>
          <w:rFonts w:ascii="Open Sans" w:hAnsi="Open Sans" w:cs="Open Sans"/>
          <w:sz w:val="20"/>
          <w:szCs w:val="20"/>
        </w:rPr>
        <w:t xml:space="preserve"> nepremičnine v Škofji Loki</w:t>
      </w:r>
      <w:r w:rsidR="00B01B9D" w:rsidRPr="005E0409">
        <w:rPr>
          <w:rFonts w:ascii="Open Sans" w:hAnsi="Open Sans" w:cs="Open Sans"/>
          <w:sz w:val="20"/>
          <w:szCs w:val="20"/>
        </w:rPr>
        <w:t xml:space="preserve"> ter tako dokončno prodala omenjeno nepremičnino.</w:t>
      </w:r>
    </w:p>
    <w:p w14:paraId="79552846" w14:textId="158C65DB" w:rsidR="00A74CD2" w:rsidRDefault="00B01B9D" w:rsidP="00B01B9D">
      <w:pPr>
        <w:jc w:val="both"/>
        <w:rPr>
          <w:rFonts w:ascii="Open Sans" w:hAnsi="Open Sans" w:cs="Open Sans"/>
          <w:sz w:val="20"/>
          <w:szCs w:val="20"/>
        </w:rPr>
      </w:pPr>
      <w:r w:rsidRPr="005E0409">
        <w:rPr>
          <w:rFonts w:ascii="Open Sans" w:hAnsi="Open Sans" w:cs="Open Sans"/>
          <w:sz w:val="20"/>
          <w:szCs w:val="20"/>
        </w:rPr>
        <w:t>Družba je 16.3.2020 zaprla vse svoje maloprodajne enote, v katerih izvaja prodajo blaga. Zaprtje je posledica sprejetja Odlok</w:t>
      </w:r>
      <w:r w:rsidR="008B72DC" w:rsidRPr="005E0409">
        <w:rPr>
          <w:rFonts w:ascii="Open Sans" w:hAnsi="Open Sans" w:cs="Open Sans"/>
          <w:sz w:val="20"/>
          <w:szCs w:val="20"/>
        </w:rPr>
        <w:t>a</w:t>
      </w:r>
      <w:r w:rsidRPr="005E0409">
        <w:rPr>
          <w:rFonts w:ascii="Open Sans" w:hAnsi="Open Sans" w:cs="Open Sans"/>
          <w:sz w:val="20"/>
          <w:szCs w:val="20"/>
        </w:rPr>
        <w:t xml:space="preserve"> o začasni prepovedi ponujanja blaga in storitev potrošnikom v Republiki Sloveniji, ki ga je Vlada Republike Slovenije izdala dne 15.3.2020.</w:t>
      </w:r>
      <w:r w:rsidR="00B50CE1">
        <w:rPr>
          <w:rFonts w:ascii="Open Sans" w:hAnsi="Open Sans" w:cs="Open Sans"/>
          <w:sz w:val="20"/>
          <w:szCs w:val="20"/>
        </w:rPr>
        <w:t xml:space="preserve"> Omenjeni odlok je ostal v veljavi do 18.5.2020 in je pomembno vplival na poslovanje družbe, saj v omenjenem času družba ni smela izvajati svoje trgovinske dejavnosti preko maloprodajnih enot.</w:t>
      </w:r>
    </w:p>
    <w:p w14:paraId="462C392E" w14:textId="14BB72FE" w:rsidR="009D7002" w:rsidRDefault="009D7002" w:rsidP="00B01B9D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V mesecu maju je družba povečala svoj lastniški delež na nepremičnini na Slovenčevi 24 z odkupom deleža enega od obstoječih lastnikov. </w:t>
      </w:r>
    </w:p>
    <w:p w14:paraId="6965122E" w14:textId="77777777" w:rsidR="00B01B9D" w:rsidRPr="00992E71" w:rsidRDefault="00B01B9D" w:rsidP="00B01B9D">
      <w:pPr>
        <w:jc w:val="both"/>
        <w:rPr>
          <w:rFonts w:ascii="Open Sans" w:hAnsi="Open Sans" w:cs="Open Sans"/>
          <w:sz w:val="20"/>
          <w:szCs w:val="20"/>
        </w:rPr>
      </w:pPr>
    </w:p>
    <w:p w14:paraId="39F468B9" w14:textId="0D1C4318" w:rsidR="00CE5D66" w:rsidRPr="00992E71" w:rsidRDefault="00CE5D66" w:rsidP="00960F07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lastRenderedPageBreak/>
        <w:t xml:space="preserve">Pomembnejši poslovni dogodki </w:t>
      </w:r>
      <w:r w:rsidR="00507F88" w:rsidRPr="00992E71">
        <w:rPr>
          <w:rFonts w:ascii="Open Sans" w:hAnsi="Open Sans" w:cs="Open Sans"/>
          <w:b/>
          <w:sz w:val="20"/>
          <w:szCs w:val="20"/>
        </w:rPr>
        <w:t>po presečnem datumu</w:t>
      </w:r>
    </w:p>
    <w:p w14:paraId="41BC66D2" w14:textId="613406FE" w:rsidR="00B50CE1" w:rsidRDefault="00B50CE1" w:rsidP="00B50CE1">
      <w:pPr>
        <w:jc w:val="both"/>
        <w:rPr>
          <w:rFonts w:ascii="Open Sans" w:hAnsi="Open Sans" w:cs="Open Sans"/>
          <w:sz w:val="20"/>
          <w:szCs w:val="20"/>
        </w:rPr>
      </w:pPr>
      <w:r w:rsidRPr="001A5FDA">
        <w:rPr>
          <w:rFonts w:ascii="Open Sans" w:hAnsi="Open Sans" w:cs="Open Sans"/>
          <w:sz w:val="20"/>
          <w:szCs w:val="20"/>
        </w:rPr>
        <w:t xml:space="preserve">V času po presečnem datumu in do datuma objave tega poročila ni prišlo do </w:t>
      </w:r>
      <w:r>
        <w:rPr>
          <w:rFonts w:ascii="Open Sans" w:hAnsi="Open Sans" w:cs="Open Sans"/>
          <w:sz w:val="20"/>
          <w:szCs w:val="20"/>
        </w:rPr>
        <w:t xml:space="preserve">poslovnih </w:t>
      </w:r>
      <w:r w:rsidRPr="001A5FDA">
        <w:rPr>
          <w:rFonts w:ascii="Open Sans" w:hAnsi="Open Sans" w:cs="Open Sans"/>
          <w:sz w:val="20"/>
          <w:szCs w:val="20"/>
        </w:rPr>
        <w:t xml:space="preserve">dogodkov, ki bi pomembno vplivali na </w:t>
      </w:r>
      <w:r>
        <w:rPr>
          <w:rFonts w:ascii="Open Sans" w:hAnsi="Open Sans" w:cs="Open Sans"/>
          <w:sz w:val="20"/>
          <w:szCs w:val="20"/>
        </w:rPr>
        <w:t>poslovanje</w:t>
      </w:r>
      <w:r w:rsidRPr="001A5FDA">
        <w:rPr>
          <w:rFonts w:ascii="Open Sans" w:hAnsi="Open Sans" w:cs="Open Sans"/>
          <w:sz w:val="20"/>
          <w:szCs w:val="20"/>
        </w:rPr>
        <w:t xml:space="preserve"> družbe</w:t>
      </w:r>
      <w:r>
        <w:rPr>
          <w:rFonts w:ascii="Open Sans" w:hAnsi="Open Sans" w:cs="Open Sans"/>
          <w:sz w:val="20"/>
          <w:szCs w:val="20"/>
        </w:rPr>
        <w:t>.</w:t>
      </w:r>
      <w:r w:rsidRPr="001A5FDA">
        <w:rPr>
          <w:rFonts w:ascii="Open Sans" w:hAnsi="Open Sans" w:cs="Open Sans"/>
          <w:sz w:val="20"/>
          <w:szCs w:val="20"/>
        </w:rPr>
        <w:t xml:space="preserve"> </w:t>
      </w:r>
    </w:p>
    <w:p w14:paraId="23FD2D65" w14:textId="77777777" w:rsidR="00B424AA" w:rsidRPr="001A5FDA" w:rsidRDefault="00B424AA" w:rsidP="00B50CE1">
      <w:pPr>
        <w:jc w:val="both"/>
        <w:rPr>
          <w:rFonts w:ascii="Open Sans" w:hAnsi="Open Sans" w:cs="Open Sans"/>
          <w:sz w:val="20"/>
          <w:szCs w:val="20"/>
        </w:rPr>
      </w:pPr>
    </w:p>
    <w:p w14:paraId="576015F0" w14:textId="77777777" w:rsidR="001266D0" w:rsidRDefault="001266D0">
      <w:p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br w:type="page"/>
      </w:r>
    </w:p>
    <w:p w14:paraId="170030DA" w14:textId="767DE8FD" w:rsidR="002913A7" w:rsidRPr="00992E71" w:rsidRDefault="006B696E" w:rsidP="00B80713">
      <w:pPr>
        <w:pStyle w:val="Odstavekseznama"/>
        <w:numPr>
          <w:ilvl w:val="0"/>
          <w:numId w:val="12"/>
        </w:numPr>
        <w:jc w:val="both"/>
        <w:rPr>
          <w:rFonts w:ascii="Open Sans" w:hAnsi="Open Sans" w:cs="Open Sans"/>
          <w:b/>
          <w:sz w:val="24"/>
          <w:szCs w:val="24"/>
        </w:rPr>
      </w:pPr>
      <w:r w:rsidRPr="00992E71">
        <w:rPr>
          <w:rFonts w:ascii="Open Sans" w:hAnsi="Open Sans" w:cs="Open Sans"/>
          <w:b/>
          <w:sz w:val="24"/>
          <w:szCs w:val="24"/>
        </w:rPr>
        <w:lastRenderedPageBreak/>
        <w:t>POVZETEK RAČUNOVODSKEGA POROČILA</w:t>
      </w:r>
    </w:p>
    <w:p w14:paraId="7D5EDE7A" w14:textId="77777777" w:rsidR="006B696E" w:rsidRPr="00992E71" w:rsidRDefault="006B696E" w:rsidP="00CE5D66">
      <w:pPr>
        <w:rPr>
          <w:rFonts w:ascii="Open Sans" w:hAnsi="Open Sans" w:cs="Open Sans"/>
          <w:b/>
          <w:sz w:val="20"/>
          <w:szCs w:val="20"/>
        </w:rPr>
      </w:pPr>
    </w:p>
    <w:p w14:paraId="3B89F2DE" w14:textId="21D473F2" w:rsidR="0066316B" w:rsidRPr="00992E71" w:rsidRDefault="00645FD6" w:rsidP="002C7298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Povzetek</w:t>
      </w:r>
      <w:r w:rsidR="00417C66" w:rsidRPr="00992E71">
        <w:rPr>
          <w:rFonts w:ascii="Open Sans" w:hAnsi="Open Sans" w:cs="Open Sans"/>
          <w:b/>
          <w:sz w:val="20"/>
          <w:szCs w:val="20"/>
        </w:rPr>
        <w:t xml:space="preserve"> </w:t>
      </w:r>
      <w:r w:rsidR="00724028">
        <w:rPr>
          <w:rFonts w:ascii="Open Sans" w:hAnsi="Open Sans" w:cs="Open Sans"/>
          <w:b/>
          <w:sz w:val="20"/>
          <w:szCs w:val="20"/>
        </w:rPr>
        <w:t>bilance stanja na dan 30.6</w:t>
      </w:r>
      <w:r w:rsidR="0081058C">
        <w:rPr>
          <w:rFonts w:ascii="Open Sans" w:hAnsi="Open Sans" w:cs="Open Sans"/>
          <w:b/>
          <w:sz w:val="20"/>
          <w:szCs w:val="20"/>
        </w:rPr>
        <w:t>.2020</w:t>
      </w:r>
    </w:p>
    <w:p w14:paraId="363714ED" w14:textId="77777777" w:rsidR="00DD6D66" w:rsidRPr="00992E71" w:rsidRDefault="00DD6D66" w:rsidP="00DD6D66">
      <w:pPr>
        <w:pStyle w:val="Odstavekseznama"/>
        <w:ind w:left="431"/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24"/>
        <w:gridCol w:w="1244"/>
        <w:gridCol w:w="1402"/>
      </w:tblGrid>
      <w:tr w:rsidR="00836CDD" w:rsidRPr="00992E71" w14:paraId="5A1B0EDF" w14:textId="77777777" w:rsidTr="008455F1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2A9F9C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(v EUR)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3A29DE" w14:textId="76028171" w:rsidR="00836CDD" w:rsidRPr="00992E71" w:rsidRDefault="00E322F5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30.6</w:t>
            </w:r>
            <w:r w:rsidR="00836CDD">
              <w:rPr>
                <w:rFonts w:ascii="Open Sans" w:hAnsi="Open Sans" w:cs="Open Sans"/>
                <w:b/>
                <w:sz w:val="20"/>
                <w:szCs w:val="20"/>
              </w:rPr>
              <w:t>.2020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650FC6" w14:textId="5B228D5F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31.12.2019</w:t>
            </w:r>
          </w:p>
        </w:tc>
      </w:tr>
      <w:tr w:rsidR="00836CDD" w:rsidRPr="00992E71" w14:paraId="20E8D863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5B166916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Dolgoročna sredstva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A564D" w14:textId="4EA509B4" w:rsidR="00836CDD" w:rsidRPr="00992E71" w:rsidRDefault="000B4168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7.857.851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E5D6B44" w14:textId="57965EDC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7.435.273</w:t>
            </w:r>
          </w:p>
        </w:tc>
      </w:tr>
      <w:tr w:rsidR="00836CDD" w:rsidRPr="00992E71" w14:paraId="45713EC1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1FC208C9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Neopredmetena sredstva in dolgoročne aktivne časovne razmejitve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7D10C" w14:textId="6F356AC9" w:rsidR="00836CDD" w:rsidRPr="00992E71" w:rsidRDefault="002C6995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47.506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F7BA4E1" w14:textId="3EC20699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46.428</w:t>
            </w:r>
          </w:p>
        </w:tc>
      </w:tr>
      <w:tr w:rsidR="00836CDD" w:rsidRPr="00992E71" w14:paraId="6AB984B5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24814510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Opredmetena osnovna sredstva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32D37" w14:textId="0509B16A" w:rsidR="00836CDD" w:rsidRPr="00474292" w:rsidRDefault="00474292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474292">
              <w:rPr>
                <w:rFonts w:ascii="Open Sans" w:hAnsi="Open Sans" w:cs="Open Sans"/>
                <w:sz w:val="20"/>
                <w:szCs w:val="20"/>
              </w:rPr>
              <w:t>4.895.177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22A4583" w14:textId="3483EBE8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4.941.616</w:t>
            </w:r>
          </w:p>
        </w:tc>
      </w:tr>
      <w:tr w:rsidR="00836CDD" w:rsidRPr="00992E71" w14:paraId="53598F7F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6A2516F3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Naložbene nepremičnine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E6A81" w14:textId="5DCDB149" w:rsidR="00836CDD" w:rsidRPr="00474292" w:rsidRDefault="00474292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474292">
              <w:rPr>
                <w:rFonts w:ascii="Open Sans" w:hAnsi="Open Sans" w:cs="Open Sans"/>
                <w:sz w:val="20"/>
                <w:szCs w:val="20"/>
              </w:rPr>
              <w:t>2.149.436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478A4DC" w14:textId="43FDF255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1.722.960</w:t>
            </w:r>
          </w:p>
        </w:tc>
      </w:tr>
      <w:tr w:rsidR="00836CDD" w:rsidRPr="00992E71" w14:paraId="72167080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2DE2D37B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Dolgoročne finančne naložbe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7CF13" w14:textId="2D785A8D" w:rsidR="00836CDD" w:rsidRPr="00992E71" w:rsidRDefault="002C6995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394.956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F301159" w14:textId="00467290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349.164</w:t>
            </w:r>
          </w:p>
        </w:tc>
      </w:tr>
      <w:tr w:rsidR="00836CDD" w:rsidRPr="00992E71" w14:paraId="3F3EDAEA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61E6D15D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Dolgoročne poslovne terjatve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AC828" w14:textId="35B10F73" w:rsidR="00836CDD" w:rsidRPr="00992E71" w:rsidRDefault="002C6995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335.596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5DD8B89" w14:textId="29A59CF6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334.176</w:t>
            </w:r>
          </w:p>
        </w:tc>
      </w:tr>
      <w:tr w:rsidR="00836CDD" w:rsidRPr="00992E71" w14:paraId="18C88204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69611C2C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Odložene terjatve za davek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2A3AB" w14:textId="7E0B5E46" w:rsidR="00836CDD" w:rsidRPr="00992E71" w:rsidRDefault="002C6995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35.180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7CDAF3D" w14:textId="51834802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40.928</w:t>
            </w:r>
          </w:p>
        </w:tc>
      </w:tr>
      <w:tr w:rsidR="00836CDD" w:rsidRPr="00992E71" w14:paraId="00C16DE7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5F309889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Kratkoročna sredstva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8ABBD" w14:textId="77075474" w:rsidR="00836CDD" w:rsidRPr="00992E71" w:rsidRDefault="000B4168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7.257.964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2C1680B" w14:textId="346E5742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6.994.387</w:t>
            </w:r>
          </w:p>
        </w:tc>
      </w:tr>
      <w:tr w:rsidR="00836CDD" w:rsidRPr="00992E71" w14:paraId="23F7FA40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17A1ECCB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Sredstva (skupine za odtujitev) za prodajo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5F23A" w14:textId="74B0A03E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12A6F2E" w14:textId="08165359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53.372</w:t>
            </w:r>
          </w:p>
        </w:tc>
      </w:tr>
      <w:tr w:rsidR="00836CDD" w:rsidRPr="00992E71" w14:paraId="6FAA79CB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7B48281D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Zaloge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7C996" w14:textId="6E64A6CE" w:rsidR="00836CDD" w:rsidRPr="00992E71" w:rsidRDefault="002C6995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2.664.189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93D4C71" w14:textId="5B884509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2.247.227</w:t>
            </w:r>
          </w:p>
        </w:tc>
      </w:tr>
      <w:tr w:rsidR="00836CDD" w:rsidRPr="00992E71" w14:paraId="6F1C6A8C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7A0F4C6A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Kratkoročne finančne naložbe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37F76" w14:textId="4FE0EAA8" w:rsidR="00836CDD" w:rsidRPr="00992E71" w:rsidRDefault="002C6995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1.378.270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36D9C93" w14:textId="15CD63F5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1.381.404</w:t>
            </w:r>
          </w:p>
        </w:tc>
      </w:tr>
      <w:tr w:rsidR="00836CDD" w:rsidRPr="00992E71" w14:paraId="5B98765C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30307113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Kratkoročne poslovne terjatve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EB540" w14:textId="77CEBE16" w:rsidR="00836CDD" w:rsidRPr="00992E71" w:rsidRDefault="002C6995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750.349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B2C3FCD" w14:textId="038060E2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401.479</w:t>
            </w:r>
          </w:p>
        </w:tc>
      </w:tr>
      <w:tr w:rsidR="00836CDD" w:rsidRPr="00992E71" w14:paraId="6DCB2340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03018DEE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Denarna sredstva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E8327" w14:textId="4E0FB160" w:rsidR="00836CDD" w:rsidRPr="00992E71" w:rsidRDefault="002C6995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2.465.155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AEA6901" w14:textId="6F117E63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2.910.906</w:t>
            </w:r>
          </w:p>
        </w:tc>
      </w:tr>
      <w:tr w:rsidR="00836CDD" w:rsidRPr="00992E71" w14:paraId="734FBA8E" w14:textId="77777777" w:rsidTr="00E60F97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251450ED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Kratkoročne aktivne časovne razmejitve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1658C" w14:textId="6D5BAA01" w:rsidR="00836CDD" w:rsidRPr="00992E71" w:rsidRDefault="002C6995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74.991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4517057" w14:textId="0D2A9654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45.069</w:t>
            </w:r>
          </w:p>
        </w:tc>
      </w:tr>
      <w:tr w:rsidR="00836CDD" w:rsidRPr="00992E71" w14:paraId="15686D7B" w14:textId="77777777" w:rsidTr="008455F1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54B4CAA7" w14:textId="77777777" w:rsidR="00836CDD" w:rsidRPr="00992E71" w:rsidRDefault="00836CDD" w:rsidP="00836CDD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SKUPAJ SREDSTVA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36CF4641" w14:textId="4033496E" w:rsidR="00836CDD" w:rsidRPr="00992E71" w:rsidRDefault="002C6995" w:rsidP="00836CDD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15.190.806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48C7006F" w14:textId="35D5B975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14.474.729</w:t>
            </w:r>
          </w:p>
        </w:tc>
      </w:tr>
      <w:tr w:rsidR="00A12784" w:rsidRPr="00992E71" w14:paraId="26FE5A77" w14:textId="77777777" w:rsidTr="008455F1">
        <w:tc>
          <w:tcPr>
            <w:tcW w:w="64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86863B" w14:textId="77777777" w:rsidR="00A12784" w:rsidRPr="00992E71" w:rsidRDefault="00A12784" w:rsidP="00CE5D6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D82A12" w14:textId="77777777" w:rsidR="00A12784" w:rsidRPr="00992E71" w:rsidRDefault="00A12784" w:rsidP="00D306C8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D2EDED" w14:textId="77777777" w:rsidR="00A12784" w:rsidRPr="00992E71" w:rsidRDefault="00A12784" w:rsidP="00D306C8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36CDD" w:rsidRPr="00992E71" w14:paraId="572E486A" w14:textId="77777777" w:rsidTr="00C73C3C">
        <w:tc>
          <w:tcPr>
            <w:tcW w:w="64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E15802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Kapital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F9F0DD" w14:textId="6AEEC983" w:rsidR="00836CDD" w:rsidRPr="00992E71" w:rsidRDefault="002C2248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11.247.477</w:t>
            </w:r>
          </w:p>
        </w:tc>
        <w:tc>
          <w:tcPr>
            <w:tcW w:w="140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9A013C" w14:textId="5CFDE2F0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10.674.513</w:t>
            </w:r>
          </w:p>
        </w:tc>
      </w:tr>
      <w:tr w:rsidR="00836CDD" w:rsidRPr="00992E71" w14:paraId="67F8F62F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259D00BF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Vpoklicani kapital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26AFE" w14:textId="52AE360B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3.977.325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03F5051" w14:textId="12F808A0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3.977.325</w:t>
            </w:r>
          </w:p>
        </w:tc>
      </w:tr>
      <w:tr w:rsidR="00836CDD" w:rsidRPr="00992E71" w14:paraId="67FB6190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55096335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Kapitalske rezerve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FC4F0" w14:textId="005C16DF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3.359.188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7A31F7B" w14:textId="506FAA21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3.359.188</w:t>
            </w:r>
          </w:p>
        </w:tc>
      </w:tr>
      <w:tr w:rsidR="00836CDD" w:rsidRPr="00992E71" w14:paraId="7DBD0275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31DAADC6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Rezerve iz dobička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96451" w14:textId="67E61870" w:rsidR="00836CDD" w:rsidRPr="00992E71" w:rsidRDefault="00625A01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2.751.424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39A33AA" w14:textId="66DEA32E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2.751.424</w:t>
            </w:r>
          </w:p>
        </w:tc>
      </w:tr>
      <w:tr w:rsidR="00836CDD" w:rsidRPr="00992E71" w14:paraId="72E89F01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57142C87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Rezerve, nastale zaradi vrednotenja po pošteni vrednosti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D11C8" w14:textId="02120AD9" w:rsidR="00836CDD" w:rsidRPr="00992E71" w:rsidRDefault="002C2248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97.480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69FFE38" w14:textId="06270AD5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60.570</w:t>
            </w:r>
          </w:p>
        </w:tc>
      </w:tr>
      <w:tr w:rsidR="00836CDD" w:rsidRPr="00992E71" w14:paraId="39370A43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6128E285" w14:textId="18DB5638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Preneseni čisti poslovni izid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6FD93" w14:textId="4171DE26" w:rsidR="00836CDD" w:rsidRPr="00992E71" w:rsidRDefault="00112E7F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526.006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DBAFADE" w14:textId="22D74F2B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675</w:t>
            </w:r>
          </w:p>
        </w:tc>
      </w:tr>
      <w:tr w:rsidR="00836CDD" w:rsidRPr="00992E71" w14:paraId="627EA6E2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0F9190AC" w14:textId="531CF4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Čisti poslovni izid poslovnega leta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7D247" w14:textId="18E8F44C" w:rsidR="00836CDD" w:rsidRPr="00112E7F" w:rsidRDefault="002C2248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536.054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FFAC5AF" w14:textId="3904EA88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525.332</w:t>
            </w:r>
          </w:p>
        </w:tc>
      </w:tr>
      <w:tr w:rsidR="00836CDD" w:rsidRPr="00992E71" w14:paraId="0ADAF26B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2FD523EA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Rezervacije in dolgoročne pasivne časovne razmejitve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F8C7F" w14:textId="205F0CFF" w:rsidR="00836CDD" w:rsidRPr="00992E71" w:rsidRDefault="002C2248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418.612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B4D985D" w14:textId="0CA628F1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446.227</w:t>
            </w:r>
          </w:p>
        </w:tc>
      </w:tr>
      <w:tr w:rsidR="00836CDD" w:rsidRPr="00992E71" w14:paraId="5D3D3A7D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0C92A30E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Dolgoročne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5FBB1" w14:textId="1AD33E24" w:rsidR="00836CDD" w:rsidRPr="00992E71" w:rsidRDefault="002C2248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1.235.713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F15AA90" w14:textId="5D7D6E9B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1.390.582</w:t>
            </w:r>
          </w:p>
        </w:tc>
      </w:tr>
      <w:tr w:rsidR="00836CDD" w:rsidRPr="00992E71" w14:paraId="0267D838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18C494F4" w14:textId="490F5F29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Dolgoročne finančne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311DB" w14:textId="6B41CD14" w:rsidR="00836CDD" w:rsidRPr="00992E71" w:rsidRDefault="002C2248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1.081.947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D20E7C2" w14:textId="30090DF8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1.328.363</w:t>
            </w:r>
          </w:p>
        </w:tc>
      </w:tr>
      <w:tr w:rsidR="00836CDD" w:rsidRPr="00992E71" w14:paraId="30BC6876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10F9C7FF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Dolgoročne poslovne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A3B68" w14:textId="09D1D320" w:rsidR="00836CDD" w:rsidRPr="00992E71" w:rsidRDefault="002C2248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153.766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145E058" w14:textId="6669BEE1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62.219</w:t>
            </w:r>
          </w:p>
        </w:tc>
      </w:tr>
      <w:tr w:rsidR="00836CDD" w:rsidRPr="00992E71" w14:paraId="4AC9D534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47003E33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Kratkoročne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F015E" w14:textId="15EDD80F" w:rsidR="00836CDD" w:rsidRPr="00992E71" w:rsidRDefault="002C2248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2.155.304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AC460FF" w14:textId="01CCAB23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1.742.296</w:t>
            </w:r>
          </w:p>
        </w:tc>
      </w:tr>
      <w:tr w:rsidR="00836CDD" w:rsidRPr="00992E71" w14:paraId="3E807DFC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3C04F911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Kratkoročne finančne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3DE77" w14:textId="208CEE97" w:rsidR="00836CDD" w:rsidRPr="00992E71" w:rsidRDefault="002C2248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526.240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C0A342D" w14:textId="23CE18AF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519.112</w:t>
            </w:r>
          </w:p>
        </w:tc>
      </w:tr>
      <w:tr w:rsidR="00836CDD" w:rsidRPr="00992E71" w14:paraId="164532BE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626E0C01" w14:textId="77777777" w:rsidR="00836CDD" w:rsidRPr="00992E71" w:rsidRDefault="00836CDD" w:rsidP="00836CDD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Kratkoročne poslovne obveznosti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F6BF0" w14:textId="63D7B8A0" w:rsidR="00836CDD" w:rsidRPr="00992E71" w:rsidRDefault="002C2248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1.629.064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A6CAD67" w14:textId="3495C98B" w:rsidR="00836CDD" w:rsidRPr="00836CDD" w:rsidRDefault="00836CDD" w:rsidP="00836CD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sz w:val="20"/>
                <w:szCs w:val="20"/>
              </w:rPr>
              <w:t>1.223.183</w:t>
            </w:r>
          </w:p>
        </w:tc>
      </w:tr>
      <w:tr w:rsidR="00836CDD" w:rsidRPr="00992E71" w14:paraId="6B09C9B4" w14:textId="77777777" w:rsidTr="00C73C3C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77B87332" w14:textId="77777777" w:rsidR="00836CDD" w:rsidRPr="00992E71" w:rsidRDefault="00836CDD" w:rsidP="00836CD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Kratkoročne pasivne časovne razmejitve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82CA3" w14:textId="5EC58CC5" w:rsidR="00836CDD" w:rsidRPr="00992E71" w:rsidRDefault="002C2248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133.700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2456392" w14:textId="7161AD6A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sz w:val="20"/>
                <w:szCs w:val="20"/>
              </w:rPr>
              <w:t>221.110</w:t>
            </w:r>
          </w:p>
        </w:tc>
      </w:tr>
      <w:tr w:rsidR="00836CDD" w:rsidRPr="00992E71" w14:paraId="5BD12FB1" w14:textId="77777777" w:rsidTr="008455F1"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718BED5B" w14:textId="77777777" w:rsidR="00836CDD" w:rsidRPr="00992E71" w:rsidRDefault="00836CDD" w:rsidP="00836CDD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SKUPAJ OBVEZNOSTI DO VIROV SREDSTEV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201DBCB6" w14:textId="7CCF0B62" w:rsidR="00836CDD" w:rsidRPr="00992E71" w:rsidRDefault="002C2248" w:rsidP="00836CDD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15.190.806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7B7B7B" w:themeFill="accent3" w:themeFillShade="BF"/>
          </w:tcPr>
          <w:p w14:paraId="2FDD6750" w14:textId="4B46A621" w:rsidR="00836CDD" w:rsidRPr="00836CDD" w:rsidRDefault="00836CDD" w:rsidP="00836CDD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836CDD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14.474.729</w:t>
            </w:r>
          </w:p>
        </w:tc>
      </w:tr>
    </w:tbl>
    <w:p w14:paraId="46DE91E4" w14:textId="77777777" w:rsidR="00967173" w:rsidRPr="00992E71" w:rsidRDefault="00967173" w:rsidP="00CE5D66">
      <w:pPr>
        <w:rPr>
          <w:rFonts w:ascii="Open Sans" w:hAnsi="Open Sans" w:cs="Open Sans"/>
          <w:sz w:val="20"/>
          <w:szCs w:val="20"/>
          <w:u w:val="single"/>
        </w:rPr>
      </w:pPr>
    </w:p>
    <w:p w14:paraId="3C98CF39" w14:textId="58549A00" w:rsidR="004F0982" w:rsidRDefault="004F0982">
      <w:pPr>
        <w:rPr>
          <w:rFonts w:ascii="Open Sans" w:hAnsi="Open Sans" w:cs="Open Sans"/>
          <w:sz w:val="20"/>
          <w:szCs w:val="20"/>
          <w:u w:val="single"/>
        </w:rPr>
      </w:pPr>
      <w:r>
        <w:rPr>
          <w:rFonts w:ascii="Open Sans" w:hAnsi="Open Sans" w:cs="Open Sans"/>
          <w:sz w:val="20"/>
          <w:szCs w:val="20"/>
          <w:u w:val="single"/>
        </w:rPr>
        <w:br w:type="page"/>
      </w:r>
    </w:p>
    <w:p w14:paraId="70D68798" w14:textId="6CD32812" w:rsidR="00967173" w:rsidRPr="00992E71" w:rsidRDefault="00645FD6" w:rsidP="002C7298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lastRenderedPageBreak/>
        <w:t>Povzetek</w:t>
      </w:r>
      <w:r w:rsidR="00417C66" w:rsidRPr="00992E71">
        <w:rPr>
          <w:rFonts w:ascii="Open Sans" w:hAnsi="Open Sans" w:cs="Open Sans"/>
          <w:b/>
          <w:sz w:val="20"/>
          <w:szCs w:val="20"/>
        </w:rPr>
        <w:t xml:space="preserve"> </w:t>
      </w:r>
      <w:r w:rsidR="00967173" w:rsidRPr="00992E71">
        <w:rPr>
          <w:rFonts w:ascii="Open Sans" w:hAnsi="Open Sans" w:cs="Open Sans"/>
          <w:b/>
          <w:sz w:val="20"/>
          <w:szCs w:val="20"/>
        </w:rPr>
        <w:t xml:space="preserve">izkaza </w:t>
      </w:r>
      <w:r w:rsidR="00E006F9" w:rsidRPr="00992E71">
        <w:rPr>
          <w:rFonts w:ascii="Open Sans" w:hAnsi="Open Sans" w:cs="Open Sans"/>
          <w:b/>
          <w:sz w:val="20"/>
          <w:szCs w:val="20"/>
        </w:rPr>
        <w:t>celotnega vseobsegajočeg</w:t>
      </w:r>
      <w:r w:rsidR="0090534E">
        <w:rPr>
          <w:rFonts w:ascii="Open Sans" w:hAnsi="Open Sans" w:cs="Open Sans"/>
          <w:b/>
          <w:sz w:val="20"/>
          <w:szCs w:val="20"/>
        </w:rPr>
        <w:t>a donosa za obdobje 1.1. do 30.6</w:t>
      </w:r>
      <w:r w:rsidR="00230C37">
        <w:rPr>
          <w:rFonts w:ascii="Open Sans" w:hAnsi="Open Sans" w:cs="Open Sans"/>
          <w:b/>
          <w:sz w:val="20"/>
          <w:szCs w:val="20"/>
        </w:rPr>
        <w:t>.2020</w:t>
      </w:r>
    </w:p>
    <w:p w14:paraId="711CCA8D" w14:textId="77777777" w:rsidR="000502F0" w:rsidRPr="00992E71" w:rsidRDefault="000502F0" w:rsidP="000502F0">
      <w:pPr>
        <w:pStyle w:val="Odstavekseznama"/>
        <w:ind w:left="431"/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Style w:val="Tabelamrea"/>
        <w:tblW w:w="9060" w:type="dxa"/>
        <w:tblLook w:val="04A0" w:firstRow="1" w:lastRow="0" w:firstColumn="1" w:lastColumn="0" w:noHBand="0" w:noVBand="1"/>
      </w:tblPr>
      <w:tblGrid>
        <w:gridCol w:w="6237"/>
        <w:gridCol w:w="1418"/>
        <w:gridCol w:w="1405"/>
      </w:tblGrid>
      <w:tr w:rsidR="00884FEE" w:rsidRPr="00992E71" w14:paraId="71EF214A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9378A2" w14:textId="77777777" w:rsidR="00884FEE" w:rsidRPr="00992E71" w:rsidRDefault="00884FEE" w:rsidP="00884FE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(v EUR)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87D0F8" w14:textId="08C9DE37" w:rsidR="00884FEE" w:rsidRPr="00992E71" w:rsidRDefault="00F82A79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1.1.-30.6</w:t>
            </w:r>
            <w:r w:rsidR="00884FEE">
              <w:rPr>
                <w:rFonts w:ascii="Open Sans" w:hAnsi="Open Sans" w:cs="Open Sans"/>
                <w:b/>
                <w:sz w:val="20"/>
                <w:szCs w:val="20"/>
              </w:rPr>
              <w:t>.2020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A933D2" w14:textId="3167A69E" w:rsidR="00884FEE" w:rsidRDefault="00F82A79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1.1.-30.6</w:t>
            </w:r>
            <w:r w:rsidR="00884FEE">
              <w:rPr>
                <w:rFonts w:ascii="Open Sans" w:hAnsi="Open Sans" w:cs="Open Sans"/>
                <w:b/>
                <w:sz w:val="20"/>
                <w:szCs w:val="20"/>
              </w:rPr>
              <w:t>.2019</w:t>
            </w:r>
          </w:p>
        </w:tc>
      </w:tr>
      <w:tr w:rsidR="00884FEE" w:rsidRPr="00992E71" w14:paraId="680BA03E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DDD0AA4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Čisti prihodki od prodaje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E3209" w14:textId="71693F3E" w:rsidR="00884FEE" w:rsidRPr="00992E71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3.610.105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704581C8" w14:textId="1E4958D1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6.632.771</w:t>
            </w:r>
          </w:p>
        </w:tc>
      </w:tr>
      <w:tr w:rsidR="00884FEE" w:rsidRPr="00992E71" w14:paraId="490983F6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10F4843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Drugi poslovni prihodki (s </w:t>
            </w:r>
            <w:proofErr w:type="spellStart"/>
            <w:r w:rsidRPr="00992E71">
              <w:rPr>
                <w:rFonts w:ascii="Open Sans" w:hAnsi="Open Sans" w:cs="Open Sans"/>
                <w:sz w:val="20"/>
                <w:szCs w:val="20"/>
              </w:rPr>
              <w:t>prevrednotovalnimi</w:t>
            </w:r>
            <w:proofErr w:type="spellEnd"/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 poslovnimi prihodki)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3EEBB" w14:textId="7DCB33B3" w:rsidR="00884FEE" w:rsidRPr="00992E71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1.230.764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1143A0D8" w14:textId="18ED4404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454.668</w:t>
            </w:r>
          </w:p>
        </w:tc>
      </w:tr>
      <w:tr w:rsidR="00884FEE" w:rsidRPr="00992E71" w14:paraId="18F89C1D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D1848D1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Stroški blaga, materiala in storitev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E223C" w14:textId="3576792F" w:rsidR="00884FEE" w:rsidRPr="00992E71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-2.393.044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6578234" w14:textId="61754003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-4.527.332</w:t>
            </w:r>
          </w:p>
        </w:tc>
      </w:tr>
      <w:tr w:rsidR="00884FEE" w:rsidRPr="00992E71" w14:paraId="721577DC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489C859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Stroški dela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7C093" w14:textId="1E25B179" w:rsidR="00884FEE" w:rsidRPr="00992E71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-1.271.177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E0435F0" w14:textId="3ED2CA2A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-1.546.282</w:t>
            </w:r>
          </w:p>
        </w:tc>
      </w:tr>
      <w:tr w:rsidR="00884FEE" w:rsidRPr="00992E71" w14:paraId="5F24DDC7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CA42497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Odpisi vrednosti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C7D77" w14:textId="1BFC56E8" w:rsidR="00884FEE" w:rsidRPr="00992E71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-620.902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E8CB2C3" w14:textId="735EC225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-600.702</w:t>
            </w:r>
          </w:p>
        </w:tc>
      </w:tr>
      <w:tr w:rsidR="00884FEE" w:rsidRPr="00992E71" w14:paraId="419F1B09" w14:textId="77777777" w:rsidTr="00884FEE">
        <w:tc>
          <w:tcPr>
            <w:tcW w:w="62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45D14D4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Drugi poslovni odhodki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F4D452" w14:textId="76FD1625" w:rsidR="00884FEE" w:rsidRPr="00992E71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-13.775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E2FB07" w14:textId="78866F4F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-18.945</w:t>
            </w:r>
          </w:p>
        </w:tc>
      </w:tr>
      <w:tr w:rsidR="00884FEE" w:rsidRPr="00992E71" w14:paraId="0F1C81AC" w14:textId="77777777" w:rsidTr="00884FEE">
        <w:tc>
          <w:tcPr>
            <w:tcW w:w="62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0FDCFA8B" w14:textId="77777777" w:rsidR="00884FEE" w:rsidRPr="00992E71" w:rsidRDefault="00884FEE" w:rsidP="00884FE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Poslovni izid iz poslovanja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846AE8" w14:textId="5EC0AFFC" w:rsidR="00884FEE" w:rsidRPr="00992E71" w:rsidRDefault="00F55C32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541.971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DDCD45" w14:textId="4F762751" w:rsidR="00884FEE" w:rsidRPr="00992E71" w:rsidRDefault="002E7022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394.178</w:t>
            </w:r>
          </w:p>
        </w:tc>
      </w:tr>
      <w:tr w:rsidR="00884FEE" w:rsidRPr="00992E71" w14:paraId="4788C478" w14:textId="77777777" w:rsidTr="00884FEE">
        <w:tc>
          <w:tcPr>
            <w:tcW w:w="6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3A7534A" w14:textId="513F01F3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Finančni prihodki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iz finančnih naložb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331360" w14:textId="383D6CA5" w:rsidR="00884FEE" w:rsidRPr="00992E71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394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B2A9548" w14:textId="6364C68D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398</w:t>
            </w:r>
          </w:p>
        </w:tc>
      </w:tr>
      <w:tr w:rsidR="00884FEE" w:rsidRPr="00992E71" w14:paraId="5D80205A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4E60E73" w14:textId="2BDE87C9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 xml:space="preserve">Finančni </w:t>
            </w:r>
            <w:r>
              <w:rPr>
                <w:rFonts w:ascii="Open Sans" w:hAnsi="Open Sans" w:cs="Open Sans"/>
                <w:sz w:val="20"/>
                <w:szCs w:val="20"/>
              </w:rPr>
              <w:t>prihodki od obresti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55054" w14:textId="1FC726C5" w:rsidR="00884FEE" w:rsidRPr="00992E71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860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612F618D" w14:textId="2D4D0419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2.081</w:t>
            </w:r>
          </w:p>
        </w:tc>
      </w:tr>
      <w:tr w:rsidR="00884FEE" w:rsidRPr="00992E71" w14:paraId="449EC690" w14:textId="77777777" w:rsidTr="00B60489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766091F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Finančni prihodki iz poslovnih terjatev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8975E" w14:textId="5EBD0912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726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ECC122F" w14:textId="50058D7A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1.578</w:t>
            </w:r>
          </w:p>
        </w:tc>
      </w:tr>
      <w:tr w:rsidR="00884FEE" w:rsidRPr="00992E71" w14:paraId="29113293" w14:textId="77777777" w:rsidTr="00B60489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A34570F" w14:textId="472A677E" w:rsidR="00884FEE" w:rsidRPr="00992E71" w:rsidRDefault="006C0E7D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Finančni odhodki iz finančnih</w:t>
            </w:r>
            <w:r w:rsidR="00884FEE" w:rsidRPr="00992E71">
              <w:rPr>
                <w:rFonts w:ascii="Open Sans" w:hAnsi="Open Sans" w:cs="Open Sans"/>
                <w:sz w:val="20"/>
                <w:szCs w:val="20"/>
              </w:rPr>
              <w:t xml:space="preserve"> obveznosti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C9EA2" w14:textId="170BABB5" w:rsidR="00884FEE" w:rsidRPr="00992E71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-9.684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B2D5406" w14:textId="333998B5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-8.744</w:t>
            </w:r>
          </w:p>
        </w:tc>
      </w:tr>
      <w:tr w:rsidR="00F55C32" w:rsidRPr="00992E71" w14:paraId="12DD4442" w14:textId="77777777" w:rsidTr="00B60489">
        <w:tc>
          <w:tcPr>
            <w:tcW w:w="62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EE8A16C" w14:textId="364EF46C" w:rsidR="00F55C32" w:rsidRDefault="00F55C32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Finančni odhodki iz poslovnih obveznosti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85AA09" w14:textId="0E03A343" w:rsidR="00F55C32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BD91A93" w14:textId="43A42D40" w:rsidR="00F55C32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</w:tr>
      <w:tr w:rsidR="00884FEE" w:rsidRPr="00992E71" w14:paraId="0B01D6D6" w14:textId="77777777" w:rsidTr="00884FEE">
        <w:tc>
          <w:tcPr>
            <w:tcW w:w="62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13CE0673" w14:textId="77777777" w:rsidR="00884FEE" w:rsidRPr="00992E71" w:rsidRDefault="00884FEE" w:rsidP="00884FE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sz w:val="20"/>
                <w:szCs w:val="20"/>
              </w:rPr>
              <w:t>Poslovni izid iz financiranja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DA2378" w14:textId="1FA3481E" w:rsidR="00884FEE" w:rsidRPr="00992E71" w:rsidRDefault="00F55C32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-7.718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D97D79" w14:textId="28DBE006" w:rsidR="00884FEE" w:rsidRPr="00992E71" w:rsidRDefault="002E7022" w:rsidP="00884FEE">
            <w:pPr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-4.687</w:t>
            </w:r>
          </w:p>
        </w:tc>
      </w:tr>
      <w:tr w:rsidR="00884FEE" w:rsidRPr="00992E71" w14:paraId="58640069" w14:textId="77777777" w:rsidTr="00884FEE">
        <w:tc>
          <w:tcPr>
            <w:tcW w:w="6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09B96B3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Drugi prihodki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F12B64" w14:textId="197697BA" w:rsidR="00884FEE" w:rsidRPr="00992E71" w:rsidRDefault="00FA35C4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4.019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DDE444" w14:textId="00252D4C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4.442</w:t>
            </w:r>
          </w:p>
        </w:tc>
      </w:tr>
      <w:tr w:rsidR="00884FEE" w:rsidRPr="00992E71" w14:paraId="141BD916" w14:textId="77777777" w:rsidTr="00884FEE">
        <w:tc>
          <w:tcPr>
            <w:tcW w:w="623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70B35C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Drugi odhodki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9D8385" w14:textId="1A0F0ADF" w:rsidR="00884FEE" w:rsidRPr="00992E71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-2.218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2F1CDE9" w14:textId="291F681B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-2.600</w:t>
            </w:r>
          </w:p>
        </w:tc>
      </w:tr>
      <w:tr w:rsidR="00884FEE" w:rsidRPr="00992E71" w14:paraId="2D16E04E" w14:textId="77777777" w:rsidTr="00884FEE">
        <w:tc>
          <w:tcPr>
            <w:tcW w:w="6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63CDF4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Davek iz dobička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E0BC85" w14:textId="241FAC74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64977CF" w14:textId="51E40796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</w:tr>
      <w:tr w:rsidR="00884FEE" w:rsidRPr="00992E71" w14:paraId="095DDF18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1A7DB90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Odloženi davki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F0B3C" w14:textId="6E27A253" w:rsidR="00884FEE" w:rsidRPr="00992E71" w:rsidRDefault="006C0E7D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44B302A" w14:textId="3403E3D4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</w:tr>
      <w:tr w:rsidR="00884FEE" w:rsidRPr="00992E71" w14:paraId="59CE1CB3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71444B38" w14:textId="77777777" w:rsidR="00884FEE" w:rsidRPr="00992E71" w:rsidRDefault="00884FEE" w:rsidP="00884FEE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ČISTI POSLOVNI IZID OBRAČUNSKEGA OBDOBJA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6406A9B0" w14:textId="5979CD99" w:rsidR="00884FEE" w:rsidRPr="00992E71" w:rsidRDefault="00F55C32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536.054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4A7FEBCE" w14:textId="262C4549" w:rsidR="00884FEE" w:rsidRPr="00992E71" w:rsidRDefault="002E7022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391.334</w:t>
            </w:r>
          </w:p>
        </w:tc>
      </w:tr>
      <w:tr w:rsidR="00884FEE" w:rsidRPr="00992E71" w14:paraId="12229091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2FE7DA" w14:textId="77777777" w:rsidR="00884FEE" w:rsidRPr="00992E71" w:rsidRDefault="00884FEE" w:rsidP="00884FEE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E7474" w14:textId="77777777" w:rsidR="00884FEE" w:rsidRPr="00992E71" w:rsidRDefault="00884FEE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B8C166B" w14:textId="77777777" w:rsidR="00884FEE" w:rsidRPr="00992E71" w:rsidRDefault="00884FEE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84FEE" w:rsidRPr="00992E71" w14:paraId="18A9699C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10CF9C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sz w:val="20"/>
                <w:szCs w:val="20"/>
              </w:rPr>
              <w:t>Sprememba rezerv, nastalih zaradi vrednotenja po pošteni vrednosti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971B5" w14:textId="6908653A" w:rsidR="00884FEE" w:rsidRPr="00992E71" w:rsidRDefault="00F55C3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36.910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52095ED8" w14:textId="1929DB3E" w:rsidR="00884FEE" w:rsidRPr="00992E71" w:rsidRDefault="002E7022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18.060</w:t>
            </w:r>
          </w:p>
        </w:tc>
      </w:tr>
      <w:tr w:rsidR="00884FEE" w:rsidRPr="00992E71" w14:paraId="78C232AF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36454284" w14:textId="77777777" w:rsidR="00884FEE" w:rsidRPr="00992E71" w:rsidRDefault="00884FEE" w:rsidP="00884FEE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992E71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CELOTNI VSEOBSEGAJOČI DONOS OBRAČUNSKEGA OBDOBJA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1A158850" w14:textId="2F66E91A" w:rsidR="00884FEE" w:rsidRPr="00992E71" w:rsidRDefault="00F55C32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572.964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767171" w:themeFill="background2" w:themeFillShade="80"/>
          </w:tcPr>
          <w:p w14:paraId="290F31EC" w14:textId="42305759" w:rsidR="00884FEE" w:rsidRPr="00992E71" w:rsidRDefault="002E7022" w:rsidP="00884FEE">
            <w:pPr>
              <w:jc w:val="right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409.393</w:t>
            </w:r>
          </w:p>
        </w:tc>
      </w:tr>
      <w:tr w:rsidR="00884FEE" w:rsidRPr="00992E71" w14:paraId="79E806E8" w14:textId="77777777" w:rsidTr="00884FEE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1F69D8" w14:textId="77777777" w:rsidR="00884FEE" w:rsidRPr="00992E71" w:rsidRDefault="00884FEE" w:rsidP="00884FE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2C707D" w14:textId="77777777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36B7C1" w14:textId="77777777" w:rsidR="00884FEE" w:rsidRPr="00992E71" w:rsidRDefault="00884FEE" w:rsidP="00884FEE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14EA3A9" w14:textId="2390349F" w:rsidR="000502F0" w:rsidRPr="00992E71" w:rsidRDefault="000502F0" w:rsidP="00CE5D66">
      <w:pPr>
        <w:rPr>
          <w:rFonts w:ascii="Open Sans" w:hAnsi="Open Sans" w:cs="Open Sans"/>
          <w:sz w:val="20"/>
          <w:szCs w:val="20"/>
          <w:u w:val="single"/>
        </w:rPr>
      </w:pPr>
      <w:r w:rsidRPr="00992E71">
        <w:rPr>
          <w:rFonts w:ascii="Open Sans" w:hAnsi="Open Sans" w:cs="Open Sans"/>
          <w:sz w:val="20"/>
          <w:szCs w:val="20"/>
          <w:u w:val="single"/>
        </w:rPr>
        <w:br w:type="page"/>
      </w:r>
    </w:p>
    <w:p w14:paraId="10E94332" w14:textId="77777777" w:rsidR="007F2C92" w:rsidRPr="00992E71" w:rsidRDefault="007F2C92" w:rsidP="007F2C92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lastRenderedPageBreak/>
        <w:t>Pojasnila k povzetkom računovodskih izkazov</w:t>
      </w:r>
    </w:p>
    <w:p w14:paraId="5FC37C80" w14:textId="0259A85E" w:rsidR="0001713F" w:rsidRPr="00992E71" w:rsidRDefault="0001713F" w:rsidP="0034485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Povzetki računovodskih</w:t>
      </w:r>
      <w:r w:rsidR="00835466">
        <w:rPr>
          <w:rFonts w:ascii="Open Sans" w:hAnsi="Open Sans" w:cs="Open Sans"/>
          <w:sz w:val="20"/>
          <w:szCs w:val="20"/>
        </w:rPr>
        <w:t xml:space="preserve"> izkazov za obdobje 1.1. do 30.6</w:t>
      </w:r>
      <w:r w:rsidR="00297B5A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so izdelani na podlagi Slovenskih ra</w:t>
      </w:r>
      <w:r w:rsidR="00FF0E1C">
        <w:rPr>
          <w:rFonts w:ascii="Open Sans" w:hAnsi="Open Sans" w:cs="Open Sans"/>
          <w:sz w:val="20"/>
          <w:szCs w:val="20"/>
        </w:rPr>
        <w:t>čunovodskih standardov (SRS 2019</w:t>
      </w:r>
      <w:r w:rsidRPr="00992E71">
        <w:rPr>
          <w:rFonts w:ascii="Open Sans" w:hAnsi="Open Sans" w:cs="Open Sans"/>
          <w:sz w:val="20"/>
          <w:szCs w:val="20"/>
        </w:rPr>
        <w:t>)</w:t>
      </w:r>
      <w:r w:rsidR="00844017" w:rsidRPr="00992E71">
        <w:rPr>
          <w:rFonts w:ascii="Open Sans" w:hAnsi="Open Sans" w:cs="Open Sans"/>
          <w:sz w:val="20"/>
          <w:szCs w:val="20"/>
        </w:rPr>
        <w:t xml:space="preserve"> ter so skladni z zahtevami Zakona</w:t>
      </w:r>
      <w:r w:rsidRPr="00992E71">
        <w:rPr>
          <w:rFonts w:ascii="Open Sans" w:hAnsi="Open Sans" w:cs="Open Sans"/>
          <w:sz w:val="20"/>
          <w:szCs w:val="20"/>
        </w:rPr>
        <w:t xml:space="preserve"> o gospodarskih družbah (ZGD-1)</w:t>
      </w:r>
      <w:r w:rsidR="00844017" w:rsidRPr="00992E71">
        <w:rPr>
          <w:rFonts w:ascii="Open Sans" w:hAnsi="Open Sans" w:cs="Open Sans"/>
          <w:sz w:val="20"/>
          <w:szCs w:val="20"/>
        </w:rPr>
        <w:t xml:space="preserve"> in Zakona o trgu finančnih instrumentov (ZTFI)</w:t>
      </w:r>
      <w:r w:rsidRPr="00992E71">
        <w:rPr>
          <w:rFonts w:ascii="Open Sans" w:hAnsi="Open Sans" w:cs="Open Sans"/>
          <w:sz w:val="20"/>
          <w:szCs w:val="20"/>
        </w:rPr>
        <w:t>. Upoštevani sta temeljni računovodski predpostavki;</w:t>
      </w:r>
      <w:r w:rsidR="00F30A87" w:rsidRPr="00992E71">
        <w:rPr>
          <w:rFonts w:ascii="Open Sans" w:hAnsi="Open Sans" w:cs="Open Sans"/>
          <w:sz w:val="20"/>
          <w:szCs w:val="20"/>
        </w:rPr>
        <w:t xml:space="preserve"> upoštevanja nastanka poslovnih dogodkov</w:t>
      </w:r>
      <w:r w:rsidRPr="00992E71">
        <w:rPr>
          <w:rFonts w:ascii="Open Sans" w:hAnsi="Open Sans" w:cs="Open Sans"/>
          <w:sz w:val="20"/>
          <w:szCs w:val="20"/>
        </w:rPr>
        <w:t xml:space="preserve"> in upoštevanje časovne neomejenosti delovanja.</w:t>
      </w:r>
    </w:p>
    <w:p w14:paraId="698C2233" w14:textId="6B8AAE33" w:rsidR="00344855" w:rsidRPr="00992E71" w:rsidRDefault="0001713F" w:rsidP="00344855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Pri pripravi povzetkov računovodskih i</w:t>
      </w:r>
      <w:r w:rsidR="001D34AB">
        <w:rPr>
          <w:rFonts w:ascii="Open Sans" w:hAnsi="Open Sans" w:cs="Open Sans"/>
          <w:sz w:val="20"/>
          <w:szCs w:val="20"/>
        </w:rPr>
        <w:t>zkazov so bila</w:t>
      </w:r>
      <w:bookmarkStart w:id="0" w:name="_GoBack"/>
      <w:bookmarkEnd w:id="0"/>
      <w:r w:rsidRPr="00992E71">
        <w:rPr>
          <w:rFonts w:ascii="Open Sans" w:hAnsi="Open Sans" w:cs="Open Sans"/>
          <w:sz w:val="20"/>
          <w:szCs w:val="20"/>
        </w:rPr>
        <w:t xml:space="preserve"> upoštevana enaka načela </w:t>
      </w:r>
      <w:proofErr w:type="spellStart"/>
      <w:r w:rsidRPr="00992E71">
        <w:rPr>
          <w:rFonts w:ascii="Open Sans" w:hAnsi="Open Sans" w:cs="Open Sans"/>
          <w:sz w:val="20"/>
          <w:szCs w:val="20"/>
        </w:rPr>
        <w:t>pripoznavanja</w:t>
      </w:r>
      <w:proofErr w:type="spellEnd"/>
      <w:r w:rsidRPr="00992E71">
        <w:rPr>
          <w:rFonts w:ascii="Open Sans" w:hAnsi="Open Sans" w:cs="Open Sans"/>
          <w:sz w:val="20"/>
          <w:szCs w:val="20"/>
        </w:rPr>
        <w:t xml:space="preserve"> in vrednotenja kot pri pripravi letnega računovodskega poročila.   </w:t>
      </w:r>
    </w:p>
    <w:p w14:paraId="4008E75A" w14:textId="1541150B" w:rsidR="00BA56BD" w:rsidRPr="00992E71" w:rsidRDefault="00AF7D1C" w:rsidP="00AF7D1C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Povzetki računovodskih izkazov za obdobje 1.1. do</w:t>
      </w:r>
      <w:r w:rsidR="00835466">
        <w:rPr>
          <w:rFonts w:ascii="Open Sans" w:hAnsi="Open Sans" w:cs="Open Sans"/>
          <w:sz w:val="20"/>
          <w:szCs w:val="20"/>
        </w:rPr>
        <w:t xml:space="preserve"> 30.6</w:t>
      </w:r>
      <w:r w:rsidR="00297B5A">
        <w:rPr>
          <w:rFonts w:ascii="Open Sans" w:hAnsi="Open Sans" w:cs="Open Sans"/>
          <w:sz w:val="20"/>
          <w:szCs w:val="20"/>
        </w:rPr>
        <w:t>.2020</w:t>
      </w:r>
      <w:r w:rsidR="00BA56BD" w:rsidRPr="00992E71">
        <w:rPr>
          <w:rFonts w:ascii="Open Sans" w:hAnsi="Open Sans" w:cs="Open Sans"/>
          <w:sz w:val="20"/>
          <w:szCs w:val="20"/>
        </w:rPr>
        <w:t xml:space="preserve"> </w:t>
      </w:r>
      <w:r w:rsidR="0009087D" w:rsidRPr="00992E71">
        <w:rPr>
          <w:rFonts w:ascii="Open Sans" w:hAnsi="Open Sans" w:cs="Open Sans"/>
          <w:sz w:val="20"/>
          <w:szCs w:val="20"/>
        </w:rPr>
        <w:t xml:space="preserve">niso </w:t>
      </w:r>
      <w:r w:rsidR="00BA56BD" w:rsidRPr="00992E71">
        <w:rPr>
          <w:rFonts w:ascii="Open Sans" w:hAnsi="Open Sans" w:cs="Open Sans"/>
          <w:sz w:val="20"/>
          <w:szCs w:val="20"/>
        </w:rPr>
        <w:t>revidirani in jih je potrebno brati skupaj z za</w:t>
      </w:r>
      <w:r w:rsidRPr="00992E71">
        <w:rPr>
          <w:rFonts w:ascii="Open Sans" w:hAnsi="Open Sans" w:cs="Open Sans"/>
          <w:sz w:val="20"/>
          <w:szCs w:val="20"/>
        </w:rPr>
        <w:t>dnjim objavljenim revidiranim letnim poročilom.</w:t>
      </w:r>
    </w:p>
    <w:p w14:paraId="30A045F5" w14:textId="24AD9EFA" w:rsidR="00DB26E3" w:rsidRPr="00992E71" w:rsidRDefault="00DB26E3" w:rsidP="00413056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Postavke v </w:t>
      </w:r>
      <w:r w:rsidR="002413BF">
        <w:rPr>
          <w:rFonts w:ascii="Open Sans" w:hAnsi="Open Sans" w:cs="Open Sans"/>
          <w:sz w:val="20"/>
          <w:szCs w:val="20"/>
        </w:rPr>
        <w:t xml:space="preserve">povzetkih </w:t>
      </w:r>
      <w:r w:rsidRPr="00992E71">
        <w:rPr>
          <w:rFonts w:ascii="Open Sans" w:hAnsi="Open Sans" w:cs="Open Sans"/>
          <w:sz w:val="20"/>
          <w:szCs w:val="20"/>
        </w:rPr>
        <w:t>računovodskih iz</w:t>
      </w:r>
      <w:r w:rsidR="002413BF">
        <w:rPr>
          <w:rFonts w:ascii="Open Sans" w:hAnsi="Open Sans" w:cs="Open Sans"/>
          <w:sz w:val="20"/>
          <w:szCs w:val="20"/>
        </w:rPr>
        <w:t>kazov</w:t>
      </w:r>
      <w:r w:rsidRPr="00992E71">
        <w:rPr>
          <w:rFonts w:ascii="Open Sans" w:hAnsi="Open Sans" w:cs="Open Sans"/>
          <w:sz w:val="20"/>
          <w:szCs w:val="20"/>
        </w:rPr>
        <w:t xml:space="preserve"> so prikazane v evrih, ki so funkcijska in predstavitvena valuta družbe.</w:t>
      </w:r>
    </w:p>
    <w:p w14:paraId="07B8F19A" w14:textId="4494C909" w:rsidR="00B3289F" w:rsidRDefault="002413BF" w:rsidP="00413056">
      <w:pPr>
        <w:jc w:val="both"/>
        <w:rPr>
          <w:rFonts w:ascii="Open Sans" w:hAnsi="Open Sans" w:cs="Open Sans"/>
          <w:sz w:val="20"/>
          <w:szCs w:val="20"/>
        </w:rPr>
      </w:pPr>
      <w:r w:rsidRPr="002413BF">
        <w:rPr>
          <w:rFonts w:ascii="Open Sans" w:hAnsi="Open Sans" w:cs="Open Sans"/>
          <w:sz w:val="20"/>
          <w:szCs w:val="20"/>
        </w:rPr>
        <w:t xml:space="preserve">Računovodske usmeritve, ki so bile uporabljene pri pripravi </w:t>
      </w:r>
      <w:r>
        <w:rPr>
          <w:rFonts w:ascii="Open Sans" w:hAnsi="Open Sans" w:cs="Open Sans"/>
          <w:sz w:val="20"/>
          <w:szCs w:val="20"/>
        </w:rPr>
        <w:t xml:space="preserve">povzetkov </w:t>
      </w:r>
      <w:r w:rsidRPr="002413BF">
        <w:rPr>
          <w:rFonts w:ascii="Open Sans" w:hAnsi="Open Sans" w:cs="Open Sans"/>
          <w:sz w:val="20"/>
          <w:szCs w:val="20"/>
        </w:rPr>
        <w:t>računovodskih izkazov</w:t>
      </w:r>
      <w:r>
        <w:rPr>
          <w:rFonts w:ascii="Open Sans" w:hAnsi="Open Sans" w:cs="Open Sans"/>
          <w:sz w:val="20"/>
          <w:szCs w:val="20"/>
        </w:rPr>
        <w:t xml:space="preserve"> na </w:t>
      </w:r>
      <w:r w:rsidR="00166CED">
        <w:rPr>
          <w:rFonts w:ascii="Open Sans" w:hAnsi="Open Sans" w:cs="Open Sans"/>
          <w:sz w:val="20"/>
          <w:szCs w:val="20"/>
        </w:rPr>
        <w:t xml:space="preserve">dan </w:t>
      </w:r>
      <w:r w:rsidR="00835466">
        <w:rPr>
          <w:rFonts w:ascii="Open Sans" w:hAnsi="Open Sans" w:cs="Open Sans"/>
          <w:sz w:val="20"/>
          <w:szCs w:val="20"/>
        </w:rPr>
        <w:t>30.6</w:t>
      </w:r>
      <w:r w:rsidR="00297B5A">
        <w:rPr>
          <w:rFonts w:ascii="Open Sans" w:hAnsi="Open Sans" w:cs="Open Sans"/>
          <w:sz w:val="20"/>
          <w:szCs w:val="20"/>
        </w:rPr>
        <w:t>.2020</w:t>
      </w:r>
      <w:r w:rsidRPr="002413BF">
        <w:rPr>
          <w:rFonts w:ascii="Open Sans" w:hAnsi="Open Sans" w:cs="Open Sans"/>
          <w:sz w:val="20"/>
          <w:szCs w:val="20"/>
        </w:rPr>
        <w:t>, so enake kot pri pripravi računovodskih izkazov za poslovno le</w:t>
      </w:r>
      <w:r w:rsidR="00166CED">
        <w:rPr>
          <w:rFonts w:ascii="Open Sans" w:hAnsi="Open Sans" w:cs="Open Sans"/>
          <w:sz w:val="20"/>
          <w:szCs w:val="20"/>
        </w:rPr>
        <w:t>to, ki se je zaključilo na dan 31.12.</w:t>
      </w:r>
      <w:r w:rsidR="00297B5A">
        <w:rPr>
          <w:rFonts w:ascii="Open Sans" w:hAnsi="Open Sans" w:cs="Open Sans"/>
          <w:sz w:val="20"/>
          <w:szCs w:val="20"/>
        </w:rPr>
        <w:t>2019.</w:t>
      </w:r>
      <w:r w:rsidRPr="002413BF">
        <w:rPr>
          <w:rFonts w:ascii="Open Sans" w:hAnsi="Open Sans" w:cs="Open Sans"/>
          <w:sz w:val="20"/>
          <w:szCs w:val="20"/>
        </w:rPr>
        <w:t xml:space="preserve"> </w:t>
      </w:r>
    </w:p>
    <w:p w14:paraId="643ACED5" w14:textId="42C33D7B" w:rsidR="00532CD0" w:rsidRDefault="00835466" w:rsidP="00413056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V obdobju 1.1. do 30.6</w:t>
      </w:r>
      <w:r w:rsidR="00297B5A">
        <w:rPr>
          <w:rFonts w:ascii="Open Sans" w:hAnsi="Open Sans" w:cs="Open Sans"/>
          <w:sz w:val="20"/>
          <w:szCs w:val="20"/>
        </w:rPr>
        <w:t>.2020</w:t>
      </w:r>
      <w:r w:rsidR="00413056" w:rsidRPr="00992E71">
        <w:rPr>
          <w:rFonts w:ascii="Open Sans" w:hAnsi="Open Sans" w:cs="Open Sans"/>
          <w:sz w:val="20"/>
          <w:szCs w:val="20"/>
        </w:rPr>
        <w:t xml:space="preserve"> ni prišlo do spreme</w:t>
      </w:r>
      <w:r w:rsidR="003976B1" w:rsidRPr="00992E71">
        <w:rPr>
          <w:rFonts w:ascii="Open Sans" w:hAnsi="Open Sans" w:cs="Open Sans"/>
          <w:sz w:val="20"/>
          <w:szCs w:val="20"/>
        </w:rPr>
        <w:t xml:space="preserve">mb </w:t>
      </w:r>
      <w:r w:rsidR="00413056" w:rsidRPr="00992E71">
        <w:rPr>
          <w:rFonts w:ascii="Open Sans" w:hAnsi="Open Sans" w:cs="Open Sans"/>
          <w:sz w:val="20"/>
          <w:szCs w:val="20"/>
        </w:rPr>
        <w:t>pri pripravi računovodskih ocen.</w:t>
      </w:r>
      <w:r w:rsidR="001452BC" w:rsidRPr="00992E71">
        <w:rPr>
          <w:rFonts w:ascii="Open Sans" w:hAnsi="Open Sans" w:cs="Open Sans"/>
          <w:sz w:val="20"/>
          <w:szCs w:val="20"/>
        </w:rPr>
        <w:t xml:space="preserve"> Ključne poslovodske presoje in ocene se nanašajo na določanje dobe koristnosti op</w:t>
      </w:r>
      <w:r w:rsidR="00532CD0">
        <w:rPr>
          <w:rFonts w:ascii="Open Sans" w:hAnsi="Open Sans" w:cs="Open Sans"/>
          <w:sz w:val="20"/>
          <w:szCs w:val="20"/>
        </w:rPr>
        <w:t xml:space="preserve">redmetenih osnovnih sredstev, </w:t>
      </w:r>
      <w:r w:rsidR="001452BC" w:rsidRPr="00992E71">
        <w:rPr>
          <w:rFonts w:ascii="Open Sans" w:hAnsi="Open Sans" w:cs="Open Sans"/>
          <w:sz w:val="20"/>
          <w:szCs w:val="20"/>
        </w:rPr>
        <w:t>naložben</w:t>
      </w:r>
      <w:r w:rsidR="00BC0095" w:rsidRPr="00992E71">
        <w:rPr>
          <w:rFonts w:ascii="Open Sans" w:hAnsi="Open Sans" w:cs="Open Sans"/>
          <w:sz w:val="20"/>
          <w:szCs w:val="20"/>
        </w:rPr>
        <w:t>ih nepremičnin</w:t>
      </w:r>
      <w:r w:rsidR="00532CD0">
        <w:rPr>
          <w:rFonts w:ascii="Open Sans" w:hAnsi="Open Sans" w:cs="Open Sans"/>
          <w:sz w:val="20"/>
          <w:szCs w:val="20"/>
        </w:rPr>
        <w:t xml:space="preserve"> in pravice do uporabe najetih sredstev</w:t>
      </w:r>
      <w:r w:rsidR="00BC0095" w:rsidRPr="00992E71">
        <w:rPr>
          <w:rFonts w:ascii="Open Sans" w:hAnsi="Open Sans" w:cs="Open Sans"/>
          <w:sz w:val="20"/>
          <w:szCs w:val="20"/>
        </w:rPr>
        <w:t xml:space="preserve">, </w:t>
      </w:r>
      <w:r w:rsidR="00532CD0">
        <w:rPr>
          <w:rFonts w:ascii="Open Sans" w:hAnsi="Open Sans" w:cs="Open Sans"/>
          <w:sz w:val="20"/>
          <w:szCs w:val="20"/>
        </w:rPr>
        <w:t xml:space="preserve">oceno čiste </w:t>
      </w:r>
      <w:proofErr w:type="spellStart"/>
      <w:r w:rsidR="00532CD0">
        <w:rPr>
          <w:rFonts w:ascii="Open Sans" w:hAnsi="Open Sans" w:cs="Open Sans"/>
          <w:sz w:val="20"/>
          <w:szCs w:val="20"/>
        </w:rPr>
        <w:t>iztržljive</w:t>
      </w:r>
      <w:proofErr w:type="spellEnd"/>
      <w:r w:rsidR="00532CD0">
        <w:rPr>
          <w:rFonts w:ascii="Open Sans" w:hAnsi="Open Sans" w:cs="Open Sans"/>
          <w:sz w:val="20"/>
          <w:szCs w:val="20"/>
        </w:rPr>
        <w:t xml:space="preserve"> vrednosti zalog, </w:t>
      </w:r>
      <w:r w:rsidR="001452BC" w:rsidRPr="00992E71">
        <w:rPr>
          <w:rFonts w:ascii="Open Sans" w:hAnsi="Open Sans" w:cs="Open Sans"/>
          <w:sz w:val="20"/>
          <w:szCs w:val="20"/>
        </w:rPr>
        <w:t>presojo oslabljenosti sredstev</w:t>
      </w:r>
      <w:r w:rsidR="00BC0095" w:rsidRPr="00992E71">
        <w:rPr>
          <w:rFonts w:ascii="Open Sans" w:hAnsi="Open Sans" w:cs="Open Sans"/>
          <w:sz w:val="20"/>
          <w:szCs w:val="20"/>
        </w:rPr>
        <w:t xml:space="preserve"> ter oceno obveznosti iz naslova bodočih izplačil odpravnin in jubilejnih nagrad</w:t>
      </w:r>
      <w:r w:rsidR="00532CD0">
        <w:rPr>
          <w:rFonts w:ascii="Open Sans" w:hAnsi="Open Sans" w:cs="Open Sans"/>
          <w:sz w:val="20"/>
          <w:szCs w:val="20"/>
        </w:rPr>
        <w:t xml:space="preserve">. </w:t>
      </w:r>
    </w:p>
    <w:p w14:paraId="7B37962A" w14:textId="5577CF15" w:rsidR="00B424AA" w:rsidRDefault="00B424AA" w:rsidP="00413056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Zaradi pandemije Covid-19, ki je povzročila pomemben vpliv na ekonomske in finančne trge, smo dodatno preverjali ustreznost računovodskih usmeritev, ocen in predpostavk</w:t>
      </w:r>
      <w:r w:rsidR="00D9658A">
        <w:rPr>
          <w:rFonts w:ascii="Open Sans" w:hAnsi="Open Sans" w:cs="Open Sans"/>
          <w:sz w:val="20"/>
          <w:szCs w:val="20"/>
        </w:rPr>
        <w:t>, ki jih uporabljamo pri pripravi računovodskih izkazov</w:t>
      </w:r>
      <w:r>
        <w:rPr>
          <w:rFonts w:ascii="Open Sans" w:hAnsi="Open Sans" w:cs="Open Sans"/>
          <w:sz w:val="20"/>
          <w:szCs w:val="20"/>
        </w:rPr>
        <w:t>.</w:t>
      </w:r>
      <w:r w:rsidR="001A4A3C">
        <w:rPr>
          <w:rFonts w:ascii="Open Sans" w:hAnsi="Open Sans" w:cs="Open Sans"/>
          <w:sz w:val="20"/>
          <w:szCs w:val="20"/>
        </w:rPr>
        <w:t xml:space="preserve"> Na osnovi dodatne preveritve ugotavljamo, da spremembe usmeritev, ocen in predpostavk niso potrebne in da je tveganje nedelujočega podjetja nizko.</w:t>
      </w:r>
    </w:p>
    <w:p w14:paraId="1E1EBF02" w14:textId="77777777" w:rsidR="00E70F1E" w:rsidRPr="00532CD0" w:rsidRDefault="00E70F1E" w:rsidP="00413056">
      <w:pPr>
        <w:jc w:val="both"/>
        <w:rPr>
          <w:rFonts w:ascii="Open Sans" w:hAnsi="Open Sans" w:cs="Open Sans"/>
        </w:rPr>
      </w:pPr>
    </w:p>
    <w:p w14:paraId="2F03073E" w14:textId="0614226D" w:rsidR="00413056" w:rsidRPr="00992E71" w:rsidRDefault="00E824E1" w:rsidP="008524AE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Pojasnila k postavkam povzetka bilance stanja</w:t>
      </w:r>
    </w:p>
    <w:p w14:paraId="22399152" w14:textId="26A1EAB2" w:rsidR="00B360C3" w:rsidRPr="00992E71" w:rsidRDefault="00F53685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opredmetenimi osnovnimi sredstvi</w:t>
      </w:r>
      <w:r w:rsidR="00064BC2">
        <w:rPr>
          <w:rFonts w:ascii="Open Sans" w:hAnsi="Open Sans" w:cs="Open Sans"/>
          <w:sz w:val="20"/>
          <w:szCs w:val="20"/>
        </w:rPr>
        <w:t>, ki na dan 30.6</w:t>
      </w:r>
      <w:r w:rsidR="00DA0BC6">
        <w:rPr>
          <w:rFonts w:ascii="Open Sans" w:hAnsi="Open Sans" w:cs="Open Sans"/>
          <w:sz w:val="20"/>
          <w:szCs w:val="20"/>
        </w:rPr>
        <w:t>.2020</w:t>
      </w:r>
      <w:r w:rsidR="007C7492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504102">
        <w:rPr>
          <w:rFonts w:ascii="Open Sans" w:hAnsi="Open Sans" w:cs="Open Sans"/>
          <w:sz w:val="20"/>
          <w:szCs w:val="20"/>
        </w:rPr>
        <w:t>4.895.177</w:t>
      </w:r>
      <w:r w:rsidR="00941768">
        <w:rPr>
          <w:rFonts w:ascii="Open Sans" w:hAnsi="Open Sans" w:cs="Open Sans"/>
          <w:sz w:val="20"/>
          <w:szCs w:val="20"/>
        </w:rPr>
        <w:t xml:space="preserve"> </w:t>
      </w:r>
      <w:r w:rsidR="00DA0BC6">
        <w:rPr>
          <w:rFonts w:ascii="Open Sans" w:hAnsi="Open Sans" w:cs="Open Sans"/>
          <w:sz w:val="20"/>
          <w:szCs w:val="20"/>
        </w:rPr>
        <w:t>EUR (31.12.2019</w:t>
      </w:r>
      <w:r w:rsidR="007C7492" w:rsidRPr="00992E71">
        <w:rPr>
          <w:rFonts w:ascii="Open Sans" w:hAnsi="Open Sans" w:cs="Open Sans"/>
          <w:sz w:val="20"/>
          <w:szCs w:val="20"/>
        </w:rPr>
        <w:t xml:space="preserve">: </w:t>
      </w:r>
      <w:r w:rsidR="00346F73">
        <w:rPr>
          <w:rFonts w:ascii="Open Sans" w:hAnsi="Open Sans" w:cs="Open Sans"/>
          <w:sz w:val="20"/>
          <w:szCs w:val="20"/>
        </w:rPr>
        <w:t>4.941.616</w:t>
      </w:r>
      <w:r w:rsidR="007C7492" w:rsidRPr="00992E71">
        <w:rPr>
          <w:rFonts w:ascii="Open Sans" w:hAnsi="Open Sans" w:cs="Open Sans"/>
          <w:sz w:val="20"/>
          <w:szCs w:val="20"/>
        </w:rPr>
        <w:t xml:space="preserve"> EUR), </w:t>
      </w:r>
      <w:r w:rsidRPr="00992E71">
        <w:rPr>
          <w:rFonts w:ascii="Open Sans" w:hAnsi="Open Sans" w:cs="Open Sans"/>
          <w:sz w:val="20"/>
          <w:szCs w:val="20"/>
        </w:rPr>
        <w:t xml:space="preserve"> družba izkazuje zemljišča, zgradbe in opremo</w:t>
      </w:r>
      <w:r w:rsidR="00DA0BC6">
        <w:rPr>
          <w:rFonts w:ascii="Open Sans" w:hAnsi="Open Sans" w:cs="Open Sans"/>
          <w:sz w:val="20"/>
          <w:szCs w:val="20"/>
        </w:rPr>
        <w:t>,</w:t>
      </w:r>
      <w:r w:rsidRPr="00992E71">
        <w:rPr>
          <w:rFonts w:ascii="Open Sans" w:hAnsi="Open Sans" w:cs="Open Sans"/>
          <w:sz w:val="20"/>
          <w:szCs w:val="20"/>
        </w:rPr>
        <w:t xml:space="preserve"> namenjeno opravljanju poslovne dejavnosti</w:t>
      </w:r>
      <w:r w:rsidR="005B46DA">
        <w:rPr>
          <w:rFonts w:ascii="Open Sans" w:hAnsi="Open Sans" w:cs="Open Sans"/>
          <w:sz w:val="20"/>
          <w:szCs w:val="20"/>
        </w:rPr>
        <w:t xml:space="preserve"> ter pra</w:t>
      </w:r>
      <w:r w:rsidR="00EA0744">
        <w:rPr>
          <w:rFonts w:ascii="Open Sans" w:hAnsi="Open Sans" w:cs="Open Sans"/>
          <w:sz w:val="20"/>
          <w:szCs w:val="20"/>
        </w:rPr>
        <w:t>vice do uporabe najetih nepremičnin</w:t>
      </w:r>
      <w:r w:rsidRPr="00992E71">
        <w:rPr>
          <w:rFonts w:ascii="Open Sans" w:hAnsi="Open Sans" w:cs="Open Sans"/>
          <w:sz w:val="20"/>
          <w:szCs w:val="20"/>
        </w:rPr>
        <w:t xml:space="preserve">. Znesek opredmetenih osnovnih sredstev se je v primerjavi s preteklim bilančnim </w:t>
      </w:r>
      <w:r w:rsidRPr="00F002EC">
        <w:rPr>
          <w:rFonts w:ascii="Open Sans" w:hAnsi="Open Sans" w:cs="Open Sans"/>
          <w:sz w:val="20"/>
          <w:szCs w:val="20"/>
        </w:rPr>
        <w:t xml:space="preserve">datumom </w:t>
      </w:r>
      <w:r w:rsidR="008E28CA">
        <w:rPr>
          <w:rFonts w:ascii="Open Sans" w:hAnsi="Open Sans" w:cs="Open Sans"/>
          <w:sz w:val="20"/>
          <w:szCs w:val="20"/>
        </w:rPr>
        <w:t>zmanjšal za 46.439</w:t>
      </w:r>
      <w:r w:rsidR="005D4388" w:rsidRPr="00F002EC">
        <w:rPr>
          <w:rFonts w:ascii="Open Sans" w:hAnsi="Open Sans" w:cs="Open Sans"/>
          <w:sz w:val="20"/>
          <w:szCs w:val="20"/>
        </w:rPr>
        <w:t xml:space="preserve"> </w:t>
      </w:r>
      <w:r w:rsidR="00863108" w:rsidRPr="00F002EC">
        <w:rPr>
          <w:rFonts w:ascii="Open Sans" w:hAnsi="Open Sans" w:cs="Open Sans"/>
          <w:sz w:val="20"/>
          <w:szCs w:val="20"/>
        </w:rPr>
        <w:t xml:space="preserve">EUR. </w:t>
      </w:r>
      <w:r w:rsidR="00F95668" w:rsidRPr="00F002EC">
        <w:rPr>
          <w:rFonts w:ascii="Open Sans" w:hAnsi="Open Sans" w:cs="Open Sans"/>
          <w:sz w:val="20"/>
          <w:szCs w:val="20"/>
        </w:rPr>
        <w:t>Obračunana</w:t>
      </w:r>
      <w:r w:rsidR="00D97F81" w:rsidRPr="00F002EC">
        <w:rPr>
          <w:rFonts w:ascii="Open Sans" w:hAnsi="Open Sans" w:cs="Open Sans"/>
          <w:sz w:val="20"/>
          <w:szCs w:val="20"/>
        </w:rPr>
        <w:t xml:space="preserve"> amortizacije </w:t>
      </w:r>
      <w:r w:rsidR="00F95668" w:rsidRPr="00F002EC">
        <w:rPr>
          <w:rFonts w:ascii="Open Sans" w:hAnsi="Open Sans" w:cs="Open Sans"/>
          <w:sz w:val="20"/>
          <w:szCs w:val="20"/>
        </w:rPr>
        <w:t>v tem obdobju znaša</w:t>
      </w:r>
      <w:r w:rsidR="00D97F81" w:rsidRPr="00F002EC">
        <w:rPr>
          <w:rFonts w:ascii="Open Sans" w:hAnsi="Open Sans" w:cs="Open Sans"/>
          <w:sz w:val="20"/>
          <w:szCs w:val="20"/>
        </w:rPr>
        <w:t xml:space="preserve"> </w:t>
      </w:r>
      <w:r w:rsidR="00A4331E">
        <w:rPr>
          <w:rFonts w:ascii="Open Sans" w:hAnsi="Open Sans" w:cs="Open Sans"/>
          <w:sz w:val="20"/>
          <w:szCs w:val="20"/>
        </w:rPr>
        <w:t>559.597</w:t>
      </w:r>
      <w:r w:rsidR="00F95668" w:rsidRPr="00F002EC">
        <w:rPr>
          <w:rFonts w:ascii="Open Sans" w:hAnsi="Open Sans" w:cs="Open Sans"/>
          <w:sz w:val="20"/>
          <w:szCs w:val="20"/>
        </w:rPr>
        <w:t xml:space="preserve"> EUR.</w:t>
      </w:r>
      <w:r w:rsidR="00D97F81" w:rsidRPr="00F002EC">
        <w:rPr>
          <w:rFonts w:ascii="Open Sans" w:hAnsi="Open Sans" w:cs="Open Sans"/>
          <w:sz w:val="20"/>
          <w:szCs w:val="20"/>
        </w:rPr>
        <w:t xml:space="preserve"> </w:t>
      </w:r>
      <w:r w:rsidR="00F95668" w:rsidRPr="00F002EC">
        <w:rPr>
          <w:rFonts w:ascii="Open Sans" w:hAnsi="Open Sans" w:cs="Open Sans"/>
          <w:sz w:val="20"/>
          <w:szCs w:val="20"/>
        </w:rPr>
        <w:t xml:space="preserve">Razliko predstavljajo nove </w:t>
      </w:r>
      <w:r w:rsidR="00A4331E">
        <w:rPr>
          <w:rFonts w:ascii="Open Sans" w:hAnsi="Open Sans" w:cs="Open Sans"/>
          <w:sz w:val="20"/>
          <w:szCs w:val="20"/>
        </w:rPr>
        <w:t>investicije</w:t>
      </w:r>
      <w:r w:rsidR="001D3E8D" w:rsidRPr="00F002EC">
        <w:rPr>
          <w:rFonts w:ascii="Open Sans" w:hAnsi="Open Sans" w:cs="Open Sans"/>
          <w:sz w:val="20"/>
          <w:szCs w:val="20"/>
        </w:rPr>
        <w:t xml:space="preserve"> v </w:t>
      </w:r>
      <w:r w:rsidR="005402A7">
        <w:rPr>
          <w:rFonts w:ascii="Open Sans" w:hAnsi="Open Sans" w:cs="Open Sans"/>
          <w:sz w:val="20"/>
          <w:szCs w:val="20"/>
        </w:rPr>
        <w:t>skupni višini 513.158 EUR</w:t>
      </w:r>
      <w:r w:rsidR="00480AE3">
        <w:rPr>
          <w:rFonts w:ascii="Open Sans" w:hAnsi="Open Sans" w:cs="Open Sans"/>
          <w:sz w:val="20"/>
          <w:szCs w:val="20"/>
        </w:rPr>
        <w:t xml:space="preserve">, ki se nanašajo predvsem </w:t>
      </w:r>
      <w:r w:rsidR="00F83C4C">
        <w:rPr>
          <w:rFonts w:ascii="Open Sans" w:hAnsi="Open Sans" w:cs="Open Sans"/>
          <w:sz w:val="20"/>
          <w:szCs w:val="20"/>
        </w:rPr>
        <w:t>na</w:t>
      </w:r>
      <w:r w:rsidR="009C198B">
        <w:rPr>
          <w:rFonts w:ascii="Open Sans" w:hAnsi="Open Sans" w:cs="Open Sans"/>
          <w:sz w:val="20"/>
          <w:szCs w:val="20"/>
        </w:rPr>
        <w:t xml:space="preserve"> </w:t>
      </w:r>
      <w:r w:rsidR="00CA1B9D" w:rsidRPr="00F002EC">
        <w:rPr>
          <w:rFonts w:ascii="Open Sans" w:hAnsi="Open Sans" w:cs="Open Sans"/>
          <w:sz w:val="20"/>
          <w:szCs w:val="20"/>
        </w:rPr>
        <w:t>prenovo pritličja Veleblagovnice Ljubljana</w:t>
      </w:r>
      <w:r w:rsidR="001D3E8D">
        <w:rPr>
          <w:rFonts w:ascii="Open Sans" w:hAnsi="Open Sans" w:cs="Open Sans"/>
          <w:sz w:val="20"/>
          <w:szCs w:val="20"/>
        </w:rPr>
        <w:t>.</w:t>
      </w:r>
    </w:p>
    <w:p w14:paraId="1588A852" w14:textId="72616A19" w:rsidR="00942E72" w:rsidRPr="00992E71" w:rsidRDefault="00942E72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naložbenimi nepremičninami</w:t>
      </w:r>
      <w:r w:rsidR="00E70547">
        <w:rPr>
          <w:rFonts w:ascii="Open Sans" w:hAnsi="Open Sans" w:cs="Open Sans"/>
          <w:sz w:val="20"/>
          <w:szCs w:val="20"/>
        </w:rPr>
        <w:t>, ki na dan 30.6</w:t>
      </w:r>
      <w:r w:rsidR="00DA0BC6">
        <w:rPr>
          <w:rFonts w:ascii="Open Sans" w:hAnsi="Open Sans" w:cs="Open Sans"/>
          <w:sz w:val="20"/>
          <w:szCs w:val="20"/>
        </w:rPr>
        <w:t>.2020</w:t>
      </w:r>
      <w:r w:rsidR="007C7492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C075D0">
        <w:rPr>
          <w:rFonts w:ascii="Open Sans" w:hAnsi="Open Sans" w:cs="Open Sans"/>
          <w:sz w:val="20"/>
          <w:szCs w:val="20"/>
        </w:rPr>
        <w:t>2.149.436</w:t>
      </w:r>
      <w:r w:rsidR="00DA0BC6">
        <w:rPr>
          <w:rFonts w:ascii="Open Sans" w:hAnsi="Open Sans" w:cs="Open Sans"/>
          <w:sz w:val="20"/>
          <w:szCs w:val="20"/>
        </w:rPr>
        <w:t xml:space="preserve"> EUR (31.12.2019</w:t>
      </w:r>
      <w:r w:rsidR="007C7492" w:rsidRPr="00992E71">
        <w:rPr>
          <w:rFonts w:ascii="Open Sans" w:hAnsi="Open Sans" w:cs="Open Sans"/>
          <w:sz w:val="20"/>
          <w:szCs w:val="20"/>
        </w:rPr>
        <w:t xml:space="preserve">: </w:t>
      </w:r>
      <w:r w:rsidR="0080616C">
        <w:rPr>
          <w:rFonts w:ascii="Open Sans" w:hAnsi="Open Sans" w:cs="Open Sans"/>
          <w:sz w:val="20"/>
          <w:szCs w:val="20"/>
        </w:rPr>
        <w:t>1.722.960</w:t>
      </w:r>
      <w:r w:rsidR="007C7492" w:rsidRPr="00992E71">
        <w:rPr>
          <w:rFonts w:ascii="Open Sans" w:hAnsi="Open Sans" w:cs="Open Sans"/>
          <w:sz w:val="20"/>
          <w:szCs w:val="20"/>
        </w:rPr>
        <w:t xml:space="preserve"> EUR),</w:t>
      </w:r>
      <w:r w:rsidRPr="00992E71">
        <w:rPr>
          <w:rFonts w:ascii="Open Sans" w:hAnsi="Open Sans" w:cs="Open Sans"/>
          <w:sz w:val="20"/>
          <w:szCs w:val="20"/>
        </w:rPr>
        <w:t xml:space="preserve"> družba izkazuje poslovne prostore, namenjene oddajanju v najem. </w:t>
      </w:r>
      <w:r w:rsidR="00C075D0">
        <w:rPr>
          <w:rFonts w:ascii="Open Sans" w:hAnsi="Open Sans" w:cs="Open Sans"/>
          <w:sz w:val="20"/>
          <w:szCs w:val="20"/>
        </w:rPr>
        <w:t>Višina naložbenih nepremičnin se je v primerjavi z preteklim bilančnim datumom bistveno povečala zaradi nakupa novega poslovnega prostora.</w:t>
      </w:r>
    </w:p>
    <w:p w14:paraId="36AE07BD" w14:textId="63084767" w:rsidR="00942E72" w:rsidRPr="00992E71" w:rsidRDefault="000C2999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dolgoročnimi finančnimi naložbami</w:t>
      </w:r>
      <w:r w:rsidR="005A7EB8">
        <w:rPr>
          <w:rFonts w:ascii="Open Sans" w:hAnsi="Open Sans" w:cs="Open Sans"/>
          <w:sz w:val="20"/>
          <w:szCs w:val="20"/>
        </w:rPr>
        <w:t>, ki na dan 30</w:t>
      </w:r>
      <w:r w:rsidR="005F3D5D">
        <w:rPr>
          <w:rFonts w:ascii="Open Sans" w:hAnsi="Open Sans" w:cs="Open Sans"/>
          <w:sz w:val="20"/>
          <w:szCs w:val="20"/>
        </w:rPr>
        <w:t>.</w:t>
      </w:r>
      <w:r w:rsidR="005A7EB8">
        <w:rPr>
          <w:rFonts w:ascii="Open Sans" w:hAnsi="Open Sans" w:cs="Open Sans"/>
          <w:sz w:val="20"/>
          <w:szCs w:val="20"/>
        </w:rPr>
        <w:t>6</w:t>
      </w:r>
      <w:r w:rsidR="005F3D5D">
        <w:rPr>
          <w:rFonts w:ascii="Open Sans" w:hAnsi="Open Sans" w:cs="Open Sans"/>
          <w:sz w:val="20"/>
          <w:szCs w:val="20"/>
        </w:rPr>
        <w:t>.2020</w:t>
      </w:r>
      <w:r w:rsidR="00DF17E6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5A7EB8">
        <w:rPr>
          <w:rFonts w:ascii="Open Sans" w:hAnsi="Open Sans" w:cs="Open Sans"/>
          <w:sz w:val="20"/>
          <w:szCs w:val="20"/>
        </w:rPr>
        <w:t>394.956</w:t>
      </w:r>
      <w:r w:rsidR="004B0B65">
        <w:rPr>
          <w:rFonts w:ascii="Open Sans" w:hAnsi="Open Sans" w:cs="Open Sans"/>
          <w:sz w:val="20"/>
          <w:szCs w:val="20"/>
        </w:rPr>
        <w:t xml:space="preserve"> EUR (31.12.2019: 349.164</w:t>
      </w:r>
      <w:r w:rsidR="00DF17E6" w:rsidRPr="00992E71">
        <w:rPr>
          <w:rFonts w:ascii="Open Sans" w:hAnsi="Open Sans" w:cs="Open Sans"/>
          <w:sz w:val="20"/>
          <w:szCs w:val="20"/>
        </w:rPr>
        <w:t xml:space="preserve"> EUR),</w:t>
      </w:r>
      <w:r w:rsidRPr="00992E71">
        <w:rPr>
          <w:rFonts w:ascii="Open Sans" w:hAnsi="Open Sans" w:cs="Open Sans"/>
          <w:sz w:val="20"/>
          <w:szCs w:val="20"/>
        </w:rPr>
        <w:t xml:space="preserve"> dr</w:t>
      </w:r>
      <w:r w:rsidR="005A7EB8">
        <w:rPr>
          <w:rFonts w:ascii="Open Sans" w:hAnsi="Open Sans" w:cs="Open Sans"/>
          <w:sz w:val="20"/>
          <w:szCs w:val="20"/>
        </w:rPr>
        <w:t>užba izkazuje</w:t>
      </w:r>
      <w:r w:rsidR="00340865">
        <w:rPr>
          <w:rFonts w:ascii="Open Sans" w:hAnsi="Open Sans" w:cs="Open Sans"/>
          <w:sz w:val="20"/>
          <w:szCs w:val="20"/>
        </w:rPr>
        <w:t xml:space="preserve"> </w:t>
      </w:r>
      <w:r w:rsidR="00933AF9" w:rsidRPr="00992E71">
        <w:rPr>
          <w:rFonts w:ascii="Open Sans" w:hAnsi="Open Sans" w:cs="Open Sans"/>
          <w:sz w:val="20"/>
          <w:szCs w:val="20"/>
        </w:rPr>
        <w:t>naložbe v delnice</w:t>
      </w:r>
      <w:r w:rsidRPr="00992E71">
        <w:rPr>
          <w:rFonts w:ascii="Open Sans" w:hAnsi="Open Sans" w:cs="Open Sans"/>
          <w:sz w:val="20"/>
          <w:szCs w:val="20"/>
        </w:rPr>
        <w:t>, ki so razvrščene v skupino za prodajo razpoložljivih finančnih sre</w:t>
      </w:r>
      <w:r w:rsidR="00A13F8D" w:rsidRPr="00992E71">
        <w:rPr>
          <w:rFonts w:ascii="Open Sans" w:hAnsi="Open Sans" w:cs="Open Sans"/>
          <w:sz w:val="20"/>
          <w:szCs w:val="20"/>
        </w:rPr>
        <w:t>dstev in posledično vrednotene</w:t>
      </w:r>
      <w:r w:rsidRPr="00992E71">
        <w:rPr>
          <w:rFonts w:ascii="Open Sans" w:hAnsi="Open Sans" w:cs="Open Sans"/>
          <w:sz w:val="20"/>
          <w:szCs w:val="20"/>
        </w:rPr>
        <w:t xml:space="preserve"> po pošteni vrednosti prek kapitala.</w:t>
      </w:r>
      <w:r w:rsidR="00836DB1" w:rsidRPr="00992E71">
        <w:rPr>
          <w:rFonts w:ascii="Open Sans" w:hAnsi="Open Sans" w:cs="Open Sans"/>
          <w:sz w:val="20"/>
          <w:szCs w:val="20"/>
        </w:rPr>
        <w:t xml:space="preserve"> Transakcij z vrednostnimi papirji v ob</w:t>
      </w:r>
      <w:r w:rsidR="0068301D">
        <w:rPr>
          <w:rFonts w:ascii="Open Sans" w:hAnsi="Open Sans" w:cs="Open Sans"/>
          <w:sz w:val="20"/>
          <w:szCs w:val="20"/>
        </w:rPr>
        <w:t>dobju 1.1. do 3</w:t>
      </w:r>
      <w:r w:rsidR="0060080C">
        <w:rPr>
          <w:rFonts w:ascii="Open Sans" w:hAnsi="Open Sans" w:cs="Open Sans"/>
          <w:sz w:val="20"/>
          <w:szCs w:val="20"/>
        </w:rPr>
        <w:t>0.6</w:t>
      </w:r>
      <w:r w:rsidR="005F3D5D">
        <w:rPr>
          <w:rFonts w:ascii="Open Sans" w:hAnsi="Open Sans" w:cs="Open Sans"/>
          <w:sz w:val="20"/>
          <w:szCs w:val="20"/>
        </w:rPr>
        <w:t>.2020</w:t>
      </w:r>
      <w:r w:rsidR="00D1474F" w:rsidRPr="00992E71">
        <w:rPr>
          <w:rFonts w:ascii="Open Sans" w:hAnsi="Open Sans" w:cs="Open Sans"/>
          <w:sz w:val="20"/>
          <w:szCs w:val="20"/>
        </w:rPr>
        <w:t xml:space="preserve"> ni bilo</w:t>
      </w:r>
      <w:r w:rsidR="00847285" w:rsidRPr="00992E71">
        <w:rPr>
          <w:rFonts w:ascii="Open Sans" w:hAnsi="Open Sans" w:cs="Open Sans"/>
          <w:sz w:val="20"/>
          <w:szCs w:val="20"/>
        </w:rPr>
        <w:t>, sprememba vrednosti</w:t>
      </w:r>
      <w:r w:rsidR="000A69A4" w:rsidRPr="00992E71">
        <w:rPr>
          <w:rFonts w:ascii="Open Sans" w:hAnsi="Open Sans" w:cs="Open Sans"/>
          <w:sz w:val="20"/>
          <w:szCs w:val="20"/>
        </w:rPr>
        <w:t xml:space="preserve"> </w:t>
      </w:r>
      <w:r w:rsidR="00A81283">
        <w:rPr>
          <w:rFonts w:ascii="Open Sans" w:hAnsi="Open Sans" w:cs="Open Sans"/>
          <w:sz w:val="20"/>
          <w:szCs w:val="20"/>
        </w:rPr>
        <w:t xml:space="preserve">delnic </w:t>
      </w:r>
      <w:r w:rsidR="00847285" w:rsidRPr="00992E71">
        <w:rPr>
          <w:rFonts w:ascii="Open Sans" w:hAnsi="Open Sans" w:cs="Open Sans"/>
          <w:sz w:val="20"/>
          <w:szCs w:val="20"/>
        </w:rPr>
        <w:t xml:space="preserve">je </w:t>
      </w:r>
      <w:r w:rsidR="0043260B" w:rsidRPr="00992E71">
        <w:rPr>
          <w:rFonts w:ascii="Open Sans" w:hAnsi="Open Sans" w:cs="Open Sans"/>
          <w:sz w:val="20"/>
          <w:szCs w:val="20"/>
        </w:rPr>
        <w:t xml:space="preserve">le </w:t>
      </w:r>
      <w:r w:rsidR="00847285" w:rsidRPr="00D55457">
        <w:rPr>
          <w:rFonts w:ascii="Open Sans" w:hAnsi="Open Sans" w:cs="Open Sans"/>
          <w:sz w:val="20"/>
          <w:szCs w:val="20"/>
        </w:rPr>
        <w:t>posledica</w:t>
      </w:r>
      <w:r w:rsidR="00F002EC" w:rsidRPr="00D55457">
        <w:rPr>
          <w:rFonts w:ascii="Open Sans" w:hAnsi="Open Sans" w:cs="Open Sans"/>
          <w:sz w:val="20"/>
          <w:szCs w:val="20"/>
        </w:rPr>
        <w:t xml:space="preserve"> </w:t>
      </w:r>
      <w:r w:rsidR="00B07FD4">
        <w:rPr>
          <w:rFonts w:ascii="Open Sans" w:hAnsi="Open Sans" w:cs="Open Sans"/>
          <w:sz w:val="20"/>
          <w:szCs w:val="20"/>
        </w:rPr>
        <w:t>spremembe</w:t>
      </w:r>
      <w:r w:rsidR="00847285" w:rsidRPr="00D55457">
        <w:rPr>
          <w:rFonts w:ascii="Open Sans" w:hAnsi="Open Sans" w:cs="Open Sans"/>
          <w:sz w:val="20"/>
          <w:szCs w:val="20"/>
        </w:rPr>
        <w:t xml:space="preserve"> tržnih </w:t>
      </w:r>
      <w:r w:rsidR="00847285" w:rsidRPr="00992E71">
        <w:rPr>
          <w:rFonts w:ascii="Open Sans" w:hAnsi="Open Sans" w:cs="Open Sans"/>
          <w:sz w:val="20"/>
          <w:szCs w:val="20"/>
        </w:rPr>
        <w:t>cen vrednostnih papirjev</w:t>
      </w:r>
      <w:r w:rsidR="00D1474F" w:rsidRPr="00992E71">
        <w:rPr>
          <w:rFonts w:ascii="Open Sans" w:hAnsi="Open Sans" w:cs="Open Sans"/>
          <w:sz w:val="20"/>
          <w:szCs w:val="20"/>
        </w:rPr>
        <w:t>.</w:t>
      </w:r>
    </w:p>
    <w:p w14:paraId="4D6BAF1B" w14:textId="3B52F326" w:rsidR="000A068D" w:rsidRPr="00992E71" w:rsidRDefault="007C7492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lastRenderedPageBreak/>
        <w:t>Dolgoročne poslovne terjatve družbe</w:t>
      </w:r>
      <w:r w:rsidR="008928B3">
        <w:rPr>
          <w:rFonts w:ascii="Open Sans" w:hAnsi="Open Sans" w:cs="Open Sans"/>
          <w:sz w:val="20"/>
          <w:szCs w:val="20"/>
        </w:rPr>
        <w:t xml:space="preserve"> na dan 30.6</w:t>
      </w:r>
      <w:r w:rsidR="00A87C22">
        <w:rPr>
          <w:rFonts w:ascii="Open Sans" w:hAnsi="Open Sans" w:cs="Open Sans"/>
          <w:sz w:val="20"/>
          <w:szCs w:val="20"/>
        </w:rPr>
        <w:t>.2020</w:t>
      </w:r>
      <w:r w:rsidR="000A068D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8928B3">
        <w:rPr>
          <w:rFonts w:ascii="Open Sans" w:hAnsi="Open Sans" w:cs="Open Sans"/>
          <w:sz w:val="20"/>
          <w:szCs w:val="20"/>
        </w:rPr>
        <w:t>335.596</w:t>
      </w:r>
      <w:r w:rsidR="00A87C22">
        <w:rPr>
          <w:rFonts w:ascii="Open Sans" w:hAnsi="Open Sans" w:cs="Open Sans"/>
          <w:sz w:val="20"/>
          <w:szCs w:val="20"/>
        </w:rPr>
        <w:t xml:space="preserve"> EUR (31.12.2019</w:t>
      </w:r>
      <w:r w:rsidR="000A068D" w:rsidRPr="00992E71">
        <w:rPr>
          <w:rFonts w:ascii="Open Sans" w:hAnsi="Open Sans" w:cs="Open Sans"/>
          <w:sz w:val="20"/>
          <w:szCs w:val="20"/>
        </w:rPr>
        <w:t xml:space="preserve">: </w:t>
      </w:r>
      <w:r w:rsidR="004B0B65">
        <w:rPr>
          <w:rFonts w:ascii="Open Sans" w:hAnsi="Open Sans" w:cs="Open Sans"/>
          <w:sz w:val="20"/>
          <w:szCs w:val="20"/>
        </w:rPr>
        <w:t>334.176</w:t>
      </w:r>
      <w:r w:rsidR="000A068D" w:rsidRPr="00992E71">
        <w:rPr>
          <w:rFonts w:ascii="Open Sans" w:hAnsi="Open Sans" w:cs="Open Sans"/>
          <w:sz w:val="20"/>
          <w:szCs w:val="20"/>
        </w:rPr>
        <w:t xml:space="preserve"> EUR). Nanašajo se v pretežni meri na dolgoročno prejete varščine za najem poslovnih prostorov. </w:t>
      </w:r>
    </w:p>
    <w:p w14:paraId="372989A8" w14:textId="256DB6CC" w:rsidR="00084912" w:rsidRPr="00992E71" w:rsidRDefault="00725312" w:rsidP="00A37D3A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Med zalogami, ki na dan 30.6</w:t>
      </w:r>
      <w:r w:rsidR="00A87C22">
        <w:rPr>
          <w:rFonts w:ascii="Open Sans" w:hAnsi="Open Sans" w:cs="Open Sans"/>
          <w:sz w:val="20"/>
          <w:szCs w:val="20"/>
        </w:rPr>
        <w:t>.2020</w:t>
      </w:r>
      <w:r w:rsidR="00F47096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0B7660">
        <w:rPr>
          <w:rFonts w:ascii="Open Sans" w:hAnsi="Open Sans" w:cs="Open Sans"/>
          <w:sz w:val="20"/>
          <w:szCs w:val="20"/>
        </w:rPr>
        <w:t>2.664.189</w:t>
      </w:r>
      <w:r w:rsidR="00A87C22">
        <w:rPr>
          <w:rFonts w:ascii="Open Sans" w:hAnsi="Open Sans" w:cs="Open Sans"/>
          <w:sz w:val="20"/>
          <w:szCs w:val="20"/>
        </w:rPr>
        <w:t xml:space="preserve"> EUR (31.12.2019</w:t>
      </w:r>
      <w:r w:rsidR="00F47096" w:rsidRPr="00992E71">
        <w:rPr>
          <w:rFonts w:ascii="Open Sans" w:hAnsi="Open Sans" w:cs="Open Sans"/>
          <w:sz w:val="20"/>
          <w:szCs w:val="20"/>
        </w:rPr>
        <w:t xml:space="preserve">: </w:t>
      </w:r>
      <w:r w:rsidR="004C197F">
        <w:rPr>
          <w:rFonts w:ascii="Open Sans" w:hAnsi="Open Sans" w:cs="Open Sans"/>
          <w:sz w:val="20"/>
          <w:szCs w:val="20"/>
        </w:rPr>
        <w:t>2.247.227</w:t>
      </w:r>
      <w:r w:rsidR="00F47096" w:rsidRPr="00992E71">
        <w:rPr>
          <w:rFonts w:ascii="Open Sans" w:hAnsi="Open Sans" w:cs="Open Sans"/>
          <w:sz w:val="20"/>
          <w:szCs w:val="20"/>
        </w:rPr>
        <w:t xml:space="preserve"> EUR), družba izkazuje zaloge trgovskega blaga. Vrednost </w:t>
      </w:r>
      <w:r w:rsidR="00F47096" w:rsidRPr="00D55457">
        <w:rPr>
          <w:rFonts w:ascii="Open Sans" w:hAnsi="Open Sans" w:cs="Open Sans"/>
          <w:sz w:val="20"/>
          <w:szCs w:val="20"/>
        </w:rPr>
        <w:t>zalog je zar</w:t>
      </w:r>
      <w:r w:rsidR="00960EEA" w:rsidRPr="00D55457">
        <w:rPr>
          <w:rFonts w:ascii="Open Sans" w:hAnsi="Open Sans" w:cs="Open Sans"/>
          <w:sz w:val="20"/>
          <w:szCs w:val="20"/>
        </w:rPr>
        <w:t>adi cikličnosti poslovanja</w:t>
      </w:r>
      <w:r w:rsidR="001A5FE5" w:rsidRPr="00D55457">
        <w:rPr>
          <w:rFonts w:ascii="Open Sans" w:hAnsi="Open Sans" w:cs="Open Sans"/>
          <w:sz w:val="20"/>
          <w:szCs w:val="20"/>
        </w:rPr>
        <w:t xml:space="preserve"> in </w:t>
      </w:r>
      <w:r w:rsidR="00F002EC" w:rsidRPr="00D55457">
        <w:rPr>
          <w:rFonts w:ascii="Open Sans" w:hAnsi="Open Sans" w:cs="Open Sans"/>
          <w:sz w:val="20"/>
          <w:szCs w:val="20"/>
        </w:rPr>
        <w:t>zaprtja oziroma ne</w:t>
      </w:r>
      <w:r w:rsidR="00B93599">
        <w:rPr>
          <w:rFonts w:ascii="Open Sans" w:hAnsi="Open Sans" w:cs="Open Sans"/>
          <w:sz w:val="20"/>
          <w:szCs w:val="20"/>
        </w:rPr>
        <w:t xml:space="preserve"> </w:t>
      </w:r>
      <w:r w:rsidR="00F002EC" w:rsidRPr="00D55457">
        <w:rPr>
          <w:rFonts w:ascii="Open Sans" w:hAnsi="Open Sans" w:cs="Open Sans"/>
          <w:sz w:val="20"/>
          <w:szCs w:val="20"/>
        </w:rPr>
        <w:t>poslovanja maloprodajnih enot</w:t>
      </w:r>
      <w:r w:rsidR="00960EEA" w:rsidRPr="00D55457">
        <w:rPr>
          <w:rFonts w:ascii="Open Sans" w:hAnsi="Open Sans" w:cs="Open Sans"/>
          <w:sz w:val="20"/>
          <w:szCs w:val="20"/>
        </w:rPr>
        <w:t xml:space="preserve"> </w:t>
      </w:r>
      <w:r w:rsidR="004944C5" w:rsidRPr="00D55457">
        <w:rPr>
          <w:rFonts w:ascii="Open Sans" w:hAnsi="Open Sans" w:cs="Open Sans"/>
          <w:sz w:val="20"/>
          <w:szCs w:val="20"/>
        </w:rPr>
        <w:t xml:space="preserve">za </w:t>
      </w:r>
      <w:r w:rsidR="00B34310">
        <w:rPr>
          <w:rFonts w:ascii="Open Sans" w:hAnsi="Open Sans" w:cs="Open Sans"/>
          <w:sz w:val="20"/>
          <w:szCs w:val="20"/>
        </w:rPr>
        <w:t>18,6</w:t>
      </w:r>
      <w:r w:rsidR="004944C5" w:rsidRPr="00D55457">
        <w:rPr>
          <w:rFonts w:ascii="Open Sans" w:hAnsi="Open Sans" w:cs="Open Sans"/>
          <w:sz w:val="20"/>
          <w:szCs w:val="20"/>
        </w:rPr>
        <w:t>%</w:t>
      </w:r>
      <w:r w:rsidR="004773E3" w:rsidRPr="00D55457">
        <w:rPr>
          <w:rFonts w:ascii="Open Sans" w:hAnsi="Open Sans" w:cs="Open Sans"/>
          <w:sz w:val="20"/>
          <w:szCs w:val="20"/>
        </w:rPr>
        <w:t xml:space="preserve"> višja</w:t>
      </w:r>
      <w:r w:rsidR="00F47096" w:rsidRPr="00D55457">
        <w:rPr>
          <w:rFonts w:ascii="Open Sans" w:hAnsi="Open Sans" w:cs="Open Sans"/>
          <w:sz w:val="20"/>
          <w:szCs w:val="20"/>
        </w:rPr>
        <w:t xml:space="preserve"> kot </w:t>
      </w:r>
      <w:r w:rsidR="0065166E">
        <w:rPr>
          <w:rFonts w:ascii="Open Sans" w:hAnsi="Open Sans" w:cs="Open Sans"/>
          <w:sz w:val="20"/>
          <w:szCs w:val="20"/>
        </w:rPr>
        <w:t>na presečni bilančni datum</w:t>
      </w:r>
      <w:r w:rsidR="00F47096" w:rsidRPr="00992E71">
        <w:rPr>
          <w:rFonts w:ascii="Open Sans" w:hAnsi="Open Sans" w:cs="Open Sans"/>
          <w:sz w:val="20"/>
          <w:szCs w:val="20"/>
        </w:rPr>
        <w:t>.</w:t>
      </w:r>
      <w:r w:rsidR="0044746D" w:rsidRPr="00992E71">
        <w:rPr>
          <w:rFonts w:ascii="Open Sans" w:hAnsi="Open Sans" w:cs="Open Sans"/>
          <w:sz w:val="20"/>
          <w:szCs w:val="20"/>
        </w:rPr>
        <w:t xml:space="preserve"> Delež nekurantnih zalog</w:t>
      </w:r>
      <w:r w:rsidR="00640482">
        <w:rPr>
          <w:rFonts w:ascii="Open Sans" w:hAnsi="Open Sans" w:cs="Open Sans"/>
          <w:sz w:val="20"/>
          <w:szCs w:val="20"/>
        </w:rPr>
        <w:t xml:space="preserve"> se v obdobju 1.1. do 30.6</w:t>
      </w:r>
      <w:r w:rsidR="00A87C22">
        <w:rPr>
          <w:rFonts w:ascii="Open Sans" w:hAnsi="Open Sans" w:cs="Open Sans"/>
          <w:sz w:val="20"/>
          <w:szCs w:val="20"/>
        </w:rPr>
        <w:t>.2020</w:t>
      </w:r>
      <w:r w:rsidR="0044746D" w:rsidRPr="00992E71">
        <w:rPr>
          <w:rFonts w:ascii="Open Sans" w:hAnsi="Open Sans" w:cs="Open Sans"/>
          <w:sz w:val="20"/>
          <w:szCs w:val="20"/>
        </w:rPr>
        <w:t xml:space="preserve"> glede na pre</w:t>
      </w:r>
      <w:r w:rsidR="00E35EB5" w:rsidRPr="00992E71">
        <w:rPr>
          <w:rFonts w:ascii="Open Sans" w:hAnsi="Open Sans" w:cs="Open Sans"/>
          <w:sz w:val="20"/>
          <w:szCs w:val="20"/>
        </w:rPr>
        <w:t>tekli presečni datum ni pomembno</w:t>
      </w:r>
      <w:r w:rsidR="0044746D" w:rsidRPr="00992E71">
        <w:rPr>
          <w:rFonts w:ascii="Open Sans" w:hAnsi="Open Sans" w:cs="Open Sans"/>
          <w:sz w:val="20"/>
          <w:szCs w:val="20"/>
        </w:rPr>
        <w:t xml:space="preserve"> spremenil</w:t>
      </w:r>
      <w:r w:rsidR="00B03D9B">
        <w:rPr>
          <w:rFonts w:ascii="Open Sans" w:hAnsi="Open Sans" w:cs="Open Sans"/>
          <w:sz w:val="20"/>
          <w:szCs w:val="20"/>
        </w:rPr>
        <w:t>.</w:t>
      </w:r>
    </w:p>
    <w:p w14:paraId="4F92CC9E" w14:textId="0870D3B4" w:rsidR="00084912" w:rsidRPr="00992E71" w:rsidRDefault="00041127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Kratkoročne fin</w:t>
      </w:r>
      <w:r w:rsidR="00640482">
        <w:rPr>
          <w:rFonts w:ascii="Open Sans" w:hAnsi="Open Sans" w:cs="Open Sans"/>
          <w:sz w:val="20"/>
          <w:szCs w:val="20"/>
        </w:rPr>
        <w:t>ančne naložbe družbe na dan 30.6</w:t>
      </w:r>
      <w:r w:rsidR="00985901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640482">
        <w:rPr>
          <w:rFonts w:ascii="Open Sans" w:hAnsi="Open Sans" w:cs="Open Sans"/>
          <w:sz w:val="20"/>
          <w:szCs w:val="20"/>
        </w:rPr>
        <w:t>1.378.270</w:t>
      </w:r>
      <w:r w:rsidR="00985901">
        <w:rPr>
          <w:rFonts w:ascii="Open Sans" w:hAnsi="Open Sans" w:cs="Open Sans"/>
          <w:sz w:val="20"/>
          <w:szCs w:val="20"/>
        </w:rPr>
        <w:t xml:space="preserve"> EUR (31.12.2019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09599C">
        <w:rPr>
          <w:rFonts w:ascii="Open Sans" w:hAnsi="Open Sans" w:cs="Open Sans"/>
          <w:sz w:val="20"/>
          <w:szCs w:val="20"/>
        </w:rPr>
        <w:t>1.381.404</w:t>
      </w:r>
      <w:r w:rsidR="00730074">
        <w:rPr>
          <w:rFonts w:ascii="Open Sans" w:hAnsi="Open Sans" w:cs="Open Sans"/>
          <w:sz w:val="20"/>
          <w:szCs w:val="20"/>
        </w:rPr>
        <w:t xml:space="preserve"> </w:t>
      </w:r>
      <w:r w:rsidRPr="00992E71">
        <w:rPr>
          <w:rFonts w:ascii="Open Sans" w:hAnsi="Open Sans" w:cs="Open Sans"/>
          <w:sz w:val="20"/>
          <w:szCs w:val="20"/>
        </w:rPr>
        <w:t>EUR)</w:t>
      </w:r>
      <w:r w:rsidR="00730074">
        <w:rPr>
          <w:rFonts w:ascii="Open Sans" w:hAnsi="Open Sans" w:cs="Open Sans"/>
          <w:sz w:val="20"/>
          <w:szCs w:val="20"/>
        </w:rPr>
        <w:t xml:space="preserve"> in</w:t>
      </w:r>
      <w:r w:rsidRPr="00992E71">
        <w:rPr>
          <w:rFonts w:ascii="Open Sans" w:hAnsi="Open Sans" w:cs="Open Sans"/>
          <w:sz w:val="20"/>
          <w:szCs w:val="20"/>
        </w:rPr>
        <w:t xml:space="preserve"> </w:t>
      </w:r>
      <w:r w:rsidR="00730074">
        <w:rPr>
          <w:rFonts w:ascii="Open Sans" w:hAnsi="Open Sans" w:cs="Open Sans"/>
          <w:sz w:val="20"/>
          <w:szCs w:val="20"/>
        </w:rPr>
        <w:t xml:space="preserve">se </w:t>
      </w:r>
      <w:r w:rsidRPr="00992E71">
        <w:rPr>
          <w:rFonts w:ascii="Open Sans" w:hAnsi="Open Sans" w:cs="Open Sans"/>
          <w:sz w:val="20"/>
          <w:szCs w:val="20"/>
        </w:rPr>
        <w:t>nanaša</w:t>
      </w:r>
      <w:r w:rsidR="00730074">
        <w:rPr>
          <w:rFonts w:ascii="Open Sans" w:hAnsi="Open Sans" w:cs="Open Sans"/>
          <w:sz w:val="20"/>
          <w:szCs w:val="20"/>
        </w:rPr>
        <w:t>jo</w:t>
      </w:r>
      <w:r w:rsidR="00C1790C">
        <w:rPr>
          <w:rFonts w:ascii="Open Sans" w:hAnsi="Open Sans" w:cs="Open Sans"/>
          <w:sz w:val="20"/>
          <w:szCs w:val="20"/>
        </w:rPr>
        <w:t xml:space="preserve"> na</w:t>
      </w:r>
      <w:r w:rsidRPr="00992E71">
        <w:rPr>
          <w:rFonts w:ascii="Open Sans" w:hAnsi="Open Sans" w:cs="Open Sans"/>
          <w:sz w:val="20"/>
          <w:szCs w:val="20"/>
        </w:rPr>
        <w:t xml:space="preserve"> naložbe v </w:t>
      </w:r>
      <w:r w:rsidR="00132B61" w:rsidRPr="00992E71">
        <w:rPr>
          <w:rFonts w:ascii="Open Sans" w:hAnsi="Open Sans" w:cs="Open Sans"/>
          <w:sz w:val="20"/>
          <w:szCs w:val="20"/>
        </w:rPr>
        <w:t>vzajemne sklade</w:t>
      </w:r>
      <w:r w:rsidR="00730074">
        <w:rPr>
          <w:rFonts w:ascii="Open Sans" w:hAnsi="Open Sans" w:cs="Open Sans"/>
          <w:sz w:val="20"/>
          <w:szCs w:val="20"/>
        </w:rPr>
        <w:t>.</w:t>
      </w:r>
      <w:r w:rsidR="003555ED" w:rsidRPr="00992E71">
        <w:rPr>
          <w:rFonts w:ascii="Open Sans" w:hAnsi="Open Sans" w:cs="Open Sans"/>
          <w:sz w:val="20"/>
          <w:szCs w:val="20"/>
        </w:rPr>
        <w:t xml:space="preserve"> </w:t>
      </w:r>
      <w:r w:rsidR="00132B61" w:rsidRPr="00992E71">
        <w:rPr>
          <w:rFonts w:ascii="Open Sans" w:hAnsi="Open Sans" w:cs="Open Sans"/>
          <w:sz w:val="20"/>
          <w:szCs w:val="20"/>
        </w:rPr>
        <w:t>Naložbe v vzajem</w:t>
      </w:r>
      <w:r w:rsidR="00677A01">
        <w:rPr>
          <w:rFonts w:ascii="Open Sans" w:hAnsi="Open Sans" w:cs="Open Sans"/>
          <w:sz w:val="20"/>
          <w:szCs w:val="20"/>
        </w:rPr>
        <w:t>ne sklade se v skladu s SRS 2019</w:t>
      </w:r>
      <w:r w:rsidR="00132B61" w:rsidRPr="00992E71">
        <w:rPr>
          <w:rFonts w:ascii="Open Sans" w:hAnsi="Open Sans" w:cs="Open Sans"/>
          <w:sz w:val="20"/>
          <w:szCs w:val="20"/>
        </w:rPr>
        <w:t xml:space="preserve"> razvrščajo v skupino za prodajo razpoložljivih finančnih sredstev in se vrednotijo po pošteni vrednosti prek kapitala. </w:t>
      </w:r>
    </w:p>
    <w:p w14:paraId="4DC0BA64" w14:textId="58FA9883" w:rsidR="00804F64" w:rsidRPr="00992E71" w:rsidRDefault="00BA441A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kratkoročnimi poslo</w:t>
      </w:r>
      <w:r w:rsidR="00640482">
        <w:rPr>
          <w:rFonts w:ascii="Open Sans" w:hAnsi="Open Sans" w:cs="Open Sans"/>
          <w:sz w:val="20"/>
          <w:szCs w:val="20"/>
        </w:rPr>
        <w:t>vnimi terjatvami, ki na dan 30.6</w:t>
      </w:r>
      <w:r w:rsidR="00985901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znašajo</w:t>
      </w:r>
      <w:r w:rsidRPr="008C2D85">
        <w:rPr>
          <w:rFonts w:ascii="Open Sans" w:hAnsi="Open Sans" w:cs="Open Sans"/>
          <w:sz w:val="20"/>
          <w:szCs w:val="20"/>
        </w:rPr>
        <w:t xml:space="preserve"> </w:t>
      </w:r>
      <w:r w:rsidR="00640482">
        <w:rPr>
          <w:rFonts w:ascii="Open Sans" w:hAnsi="Open Sans" w:cs="Open Sans"/>
          <w:sz w:val="20"/>
          <w:szCs w:val="20"/>
        </w:rPr>
        <w:t>750.349</w:t>
      </w:r>
      <w:r w:rsidRPr="00992E71">
        <w:rPr>
          <w:rFonts w:ascii="Open Sans" w:hAnsi="Open Sans" w:cs="Open Sans"/>
          <w:sz w:val="20"/>
          <w:szCs w:val="20"/>
        </w:rPr>
        <w:t xml:space="preserve"> EUR (31.12.201</w:t>
      </w:r>
      <w:r w:rsidR="003C0526">
        <w:rPr>
          <w:rFonts w:ascii="Open Sans" w:hAnsi="Open Sans" w:cs="Open Sans"/>
          <w:sz w:val="20"/>
          <w:szCs w:val="20"/>
        </w:rPr>
        <w:t>9</w:t>
      </w:r>
      <w:r w:rsidR="00102110" w:rsidRPr="00992E71">
        <w:rPr>
          <w:rFonts w:ascii="Open Sans" w:hAnsi="Open Sans" w:cs="Open Sans"/>
          <w:sz w:val="20"/>
          <w:szCs w:val="20"/>
        </w:rPr>
        <w:t xml:space="preserve">: </w:t>
      </w:r>
      <w:r w:rsidR="00E3614F">
        <w:rPr>
          <w:rFonts w:ascii="Open Sans" w:hAnsi="Open Sans" w:cs="Open Sans"/>
          <w:sz w:val="20"/>
          <w:szCs w:val="20"/>
        </w:rPr>
        <w:t>401.479</w:t>
      </w:r>
      <w:r w:rsidR="00102110" w:rsidRPr="00992E71">
        <w:rPr>
          <w:rFonts w:ascii="Open Sans" w:hAnsi="Open Sans" w:cs="Open Sans"/>
          <w:sz w:val="20"/>
          <w:szCs w:val="20"/>
        </w:rPr>
        <w:t xml:space="preserve"> EUR), </w:t>
      </w:r>
      <w:r w:rsidR="00640482">
        <w:rPr>
          <w:rFonts w:ascii="Open Sans" w:hAnsi="Open Sans" w:cs="Open Sans"/>
          <w:sz w:val="20"/>
          <w:szCs w:val="20"/>
        </w:rPr>
        <w:t>pretežni del</w:t>
      </w:r>
      <w:r w:rsidR="00102110" w:rsidRPr="00992E71">
        <w:rPr>
          <w:rFonts w:ascii="Open Sans" w:hAnsi="Open Sans" w:cs="Open Sans"/>
          <w:sz w:val="20"/>
          <w:szCs w:val="20"/>
        </w:rPr>
        <w:t xml:space="preserve"> predstavljajo terjatve do kupcev, ki na dan 3</w:t>
      </w:r>
      <w:r w:rsidR="00640482">
        <w:rPr>
          <w:rFonts w:ascii="Open Sans" w:hAnsi="Open Sans" w:cs="Open Sans"/>
          <w:sz w:val="20"/>
          <w:szCs w:val="20"/>
        </w:rPr>
        <w:t>0.6</w:t>
      </w:r>
      <w:r w:rsidR="003C0526">
        <w:rPr>
          <w:rFonts w:ascii="Open Sans" w:hAnsi="Open Sans" w:cs="Open Sans"/>
          <w:sz w:val="20"/>
          <w:szCs w:val="20"/>
        </w:rPr>
        <w:t>.2020</w:t>
      </w:r>
      <w:r w:rsidR="00102110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977A26">
        <w:rPr>
          <w:rFonts w:ascii="Open Sans" w:hAnsi="Open Sans" w:cs="Open Sans"/>
          <w:sz w:val="20"/>
          <w:szCs w:val="20"/>
        </w:rPr>
        <w:t>465.060</w:t>
      </w:r>
      <w:r w:rsidR="003C0526">
        <w:rPr>
          <w:rFonts w:ascii="Open Sans" w:hAnsi="Open Sans" w:cs="Open Sans"/>
          <w:sz w:val="20"/>
          <w:szCs w:val="20"/>
        </w:rPr>
        <w:t xml:space="preserve"> EUR (31.12.2019</w:t>
      </w:r>
      <w:r w:rsidR="003F2037">
        <w:rPr>
          <w:rFonts w:ascii="Open Sans" w:hAnsi="Open Sans" w:cs="Open Sans"/>
          <w:sz w:val="20"/>
          <w:szCs w:val="20"/>
        </w:rPr>
        <w:t xml:space="preserve">: </w:t>
      </w:r>
      <w:r w:rsidR="0024427E">
        <w:rPr>
          <w:rFonts w:ascii="Open Sans" w:hAnsi="Open Sans" w:cs="Open Sans"/>
          <w:sz w:val="20"/>
          <w:szCs w:val="20"/>
        </w:rPr>
        <w:t>278.517</w:t>
      </w:r>
      <w:r w:rsidR="003F2037">
        <w:rPr>
          <w:rFonts w:ascii="Open Sans" w:hAnsi="Open Sans" w:cs="Open Sans"/>
          <w:sz w:val="20"/>
          <w:szCs w:val="20"/>
        </w:rPr>
        <w:t xml:space="preserve"> </w:t>
      </w:r>
      <w:r w:rsidR="00102110" w:rsidRPr="00992E71">
        <w:rPr>
          <w:rFonts w:ascii="Open Sans" w:hAnsi="Open Sans" w:cs="Open Sans"/>
          <w:sz w:val="20"/>
          <w:szCs w:val="20"/>
        </w:rPr>
        <w:t>EUR)</w:t>
      </w:r>
      <w:r w:rsidR="00034A61" w:rsidRPr="00992E71">
        <w:rPr>
          <w:rFonts w:ascii="Open Sans" w:hAnsi="Open Sans" w:cs="Open Sans"/>
          <w:sz w:val="20"/>
          <w:szCs w:val="20"/>
        </w:rPr>
        <w:t xml:space="preserve">. </w:t>
      </w:r>
      <w:r w:rsidR="008C2D85">
        <w:rPr>
          <w:rFonts w:ascii="Open Sans" w:hAnsi="Open Sans" w:cs="Open Sans"/>
          <w:sz w:val="20"/>
          <w:szCs w:val="20"/>
        </w:rPr>
        <w:t>Terjatve iz naslova da</w:t>
      </w:r>
      <w:r w:rsidR="003C0526">
        <w:rPr>
          <w:rFonts w:ascii="Open Sans" w:hAnsi="Open Sans" w:cs="Open Sans"/>
          <w:sz w:val="20"/>
          <w:szCs w:val="20"/>
        </w:rPr>
        <w:t>nih predujmov dobavite</w:t>
      </w:r>
      <w:r w:rsidR="00A76257">
        <w:rPr>
          <w:rFonts w:ascii="Open Sans" w:hAnsi="Open Sans" w:cs="Open Sans"/>
          <w:sz w:val="20"/>
          <w:szCs w:val="20"/>
        </w:rPr>
        <w:t>ljem na 30.6</w:t>
      </w:r>
      <w:r w:rsidR="00B57673">
        <w:rPr>
          <w:rFonts w:ascii="Open Sans" w:hAnsi="Open Sans" w:cs="Open Sans"/>
          <w:sz w:val="20"/>
          <w:szCs w:val="20"/>
        </w:rPr>
        <w:t xml:space="preserve">.2020 znašajo </w:t>
      </w:r>
      <w:r w:rsidR="00A76257">
        <w:rPr>
          <w:rFonts w:ascii="Open Sans" w:hAnsi="Open Sans" w:cs="Open Sans"/>
          <w:sz w:val="20"/>
          <w:szCs w:val="20"/>
        </w:rPr>
        <w:t>143.797</w:t>
      </w:r>
      <w:r w:rsidR="008C2D85">
        <w:rPr>
          <w:rFonts w:ascii="Open Sans" w:hAnsi="Open Sans" w:cs="Open Sans"/>
          <w:sz w:val="20"/>
          <w:szCs w:val="20"/>
        </w:rPr>
        <w:t xml:space="preserve"> EUR (31.12.201</w:t>
      </w:r>
      <w:r w:rsidR="00E829ED">
        <w:rPr>
          <w:rFonts w:ascii="Open Sans" w:hAnsi="Open Sans" w:cs="Open Sans"/>
          <w:sz w:val="20"/>
          <w:szCs w:val="20"/>
        </w:rPr>
        <w:t>9: 65.430</w:t>
      </w:r>
      <w:r w:rsidR="008C2D85">
        <w:rPr>
          <w:rFonts w:ascii="Open Sans" w:hAnsi="Open Sans" w:cs="Open Sans"/>
          <w:sz w:val="20"/>
          <w:szCs w:val="20"/>
        </w:rPr>
        <w:t xml:space="preserve"> EUR), terjatve do države pa </w:t>
      </w:r>
      <w:r w:rsidR="00A76257">
        <w:rPr>
          <w:rFonts w:ascii="Open Sans" w:hAnsi="Open Sans" w:cs="Open Sans"/>
          <w:sz w:val="20"/>
          <w:szCs w:val="20"/>
        </w:rPr>
        <w:t>133.453</w:t>
      </w:r>
      <w:r w:rsidR="00454301">
        <w:rPr>
          <w:rFonts w:ascii="Open Sans" w:hAnsi="Open Sans" w:cs="Open Sans"/>
          <w:sz w:val="20"/>
          <w:szCs w:val="20"/>
        </w:rPr>
        <w:t xml:space="preserve"> </w:t>
      </w:r>
      <w:r w:rsidR="008C2D85">
        <w:rPr>
          <w:rFonts w:ascii="Open Sans" w:hAnsi="Open Sans" w:cs="Open Sans"/>
          <w:sz w:val="20"/>
          <w:szCs w:val="20"/>
        </w:rPr>
        <w:t>EUR (31.12.201</w:t>
      </w:r>
      <w:r w:rsidR="00377F97">
        <w:rPr>
          <w:rFonts w:ascii="Open Sans" w:hAnsi="Open Sans" w:cs="Open Sans"/>
          <w:sz w:val="20"/>
          <w:szCs w:val="20"/>
        </w:rPr>
        <w:t>9: 48.081</w:t>
      </w:r>
      <w:r w:rsidR="008C2D85">
        <w:rPr>
          <w:rFonts w:ascii="Open Sans" w:hAnsi="Open Sans" w:cs="Open Sans"/>
          <w:sz w:val="20"/>
          <w:szCs w:val="20"/>
        </w:rPr>
        <w:t xml:space="preserve"> EUR).</w:t>
      </w:r>
    </w:p>
    <w:p w14:paraId="75BB64DE" w14:textId="33E215E7" w:rsidR="00C85C16" w:rsidRPr="00992E71" w:rsidRDefault="00FD491C" w:rsidP="00A37D3A">
      <w:pPr>
        <w:jc w:val="both"/>
        <w:rPr>
          <w:rFonts w:ascii="Open Sans" w:hAnsi="Open Sans" w:cs="Open Sans"/>
          <w:sz w:val="20"/>
          <w:szCs w:val="20"/>
        </w:rPr>
      </w:pPr>
      <w:r w:rsidRPr="000C3BAA">
        <w:rPr>
          <w:rFonts w:ascii="Open Sans" w:hAnsi="Open Sans" w:cs="Open Sans"/>
          <w:sz w:val="20"/>
          <w:szCs w:val="20"/>
        </w:rPr>
        <w:t>Kapital</w:t>
      </w:r>
      <w:r w:rsidRPr="00784AAC"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družbe na</w:t>
      </w:r>
      <w:r w:rsidR="00601554">
        <w:rPr>
          <w:rFonts w:ascii="Open Sans" w:hAnsi="Open Sans" w:cs="Open Sans"/>
          <w:sz w:val="20"/>
          <w:szCs w:val="20"/>
        </w:rPr>
        <w:t xml:space="preserve"> </w:t>
      </w:r>
      <w:r w:rsidR="00A628F3">
        <w:rPr>
          <w:rFonts w:ascii="Open Sans" w:hAnsi="Open Sans" w:cs="Open Sans"/>
          <w:sz w:val="20"/>
          <w:szCs w:val="20"/>
        </w:rPr>
        <w:t>30.6</w:t>
      </w:r>
      <w:r w:rsidR="00601554">
        <w:rPr>
          <w:rFonts w:ascii="Open Sans" w:hAnsi="Open Sans" w:cs="Open Sans"/>
          <w:sz w:val="20"/>
          <w:szCs w:val="20"/>
        </w:rPr>
        <w:t>.2020</w:t>
      </w:r>
      <w:r w:rsidR="001E0FB2" w:rsidRPr="00992E71">
        <w:rPr>
          <w:rFonts w:ascii="Open Sans" w:hAnsi="Open Sans" w:cs="Open Sans"/>
          <w:sz w:val="20"/>
          <w:szCs w:val="20"/>
        </w:rPr>
        <w:t xml:space="preserve"> znaša </w:t>
      </w:r>
      <w:r w:rsidR="00A628F3">
        <w:rPr>
          <w:rFonts w:ascii="Open Sans" w:hAnsi="Open Sans" w:cs="Open Sans"/>
          <w:sz w:val="20"/>
          <w:szCs w:val="20"/>
        </w:rPr>
        <w:t>11.247.477</w:t>
      </w:r>
      <w:r w:rsidR="00A644D1">
        <w:rPr>
          <w:rFonts w:ascii="Open Sans" w:hAnsi="Open Sans" w:cs="Open Sans"/>
          <w:sz w:val="20"/>
          <w:szCs w:val="20"/>
        </w:rPr>
        <w:t xml:space="preserve"> EUR (31.12.2019: 10.674.513</w:t>
      </w:r>
      <w:r>
        <w:rPr>
          <w:rFonts w:ascii="Open Sans" w:hAnsi="Open Sans" w:cs="Open Sans"/>
          <w:sz w:val="20"/>
          <w:szCs w:val="20"/>
        </w:rPr>
        <w:t xml:space="preserve"> EUR). Na njegovo višino</w:t>
      </w:r>
      <w:r w:rsidR="001E0FB2" w:rsidRPr="00992E71">
        <w:rPr>
          <w:rFonts w:ascii="Open Sans" w:hAnsi="Open Sans" w:cs="Open Sans"/>
          <w:sz w:val="20"/>
          <w:szCs w:val="20"/>
        </w:rPr>
        <w:t xml:space="preserve"> </w:t>
      </w:r>
      <w:r w:rsidR="000C3BAA">
        <w:rPr>
          <w:rFonts w:ascii="Open Sans" w:hAnsi="Open Sans" w:cs="Open Sans"/>
          <w:sz w:val="20"/>
          <w:szCs w:val="20"/>
        </w:rPr>
        <w:t>sta</w:t>
      </w:r>
      <w:r>
        <w:rPr>
          <w:rFonts w:ascii="Open Sans" w:hAnsi="Open Sans" w:cs="Open Sans"/>
          <w:sz w:val="20"/>
          <w:szCs w:val="20"/>
        </w:rPr>
        <w:t xml:space="preserve"> v </w:t>
      </w:r>
      <w:r w:rsidR="00601554">
        <w:rPr>
          <w:rFonts w:ascii="Open Sans" w:hAnsi="Open Sans" w:cs="Open Sans"/>
          <w:sz w:val="20"/>
          <w:szCs w:val="20"/>
        </w:rPr>
        <w:t>prv</w:t>
      </w:r>
      <w:r w:rsidR="00A628F3">
        <w:rPr>
          <w:rFonts w:ascii="Open Sans" w:hAnsi="Open Sans" w:cs="Open Sans"/>
          <w:sz w:val="20"/>
          <w:szCs w:val="20"/>
        </w:rPr>
        <w:t>em polletju</w:t>
      </w:r>
      <w:r w:rsidR="00601554">
        <w:rPr>
          <w:rFonts w:ascii="Open Sans" w:hAnsi="Open Sans" w:cs="Open Sans"/>
          <w:sz w:val="20"/>
          <w:szCs w:val="20"/>
        </w:rPr>
        <w:t xml:space="preserve"> leta 2020 vplival</w:t>
      </w:r>
      <w:r w:rsidR="000C3BAA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 pripis</w:t>
      </w:r>
      <w:r w:rsidR="00031F3B">
        <w:rPr>
          <w:rFonts w:ascii="Open Sans" w:hAnsi="Open Sans" w:cs="Open Sans"/>
          <w:sz w:val="20"/>
          <w:szCs w:val="20"/>
        </w:rPr>
        <w:t xml:space="preserve"> </w:t>
      </w:r>
      <w:r w:rsidR="007E70F1">
        <w:rPr>
          <w:rFonts w:ascii="Open Sans" w:hAnsi="Open Sans" w:cs="Open Sans"/>
          <w:sz w:val="20"/>
          <w:szCs w:val="20"/>
        </w:rPr>
        <w:t>tekoče</w:t>
      </w:r>
      <w:r w:rsidR="00031F3B">
        <w:rPr>
          <w:rFonts w:ascii="Open Sans" w:hAnsi="Open Sans" w:cs="Open Sans"/>
          <w:sz w:val="20"/>
          <w:szCs w:val="20"/>
        </w:rPr>
        <w:t>ga</w:t>
      </w:r>
      <w:r w:rsidR="006F1D1F" w:rsidRPr="00992E71">
        <w:rPr>
          <w:rFonts w:ascii="Open Sans" w:hAnsi="Open Sans" w:cs="Open Sans"/>
          <w:sz w:val="20"/>
          <w:szCs w:val="20"/>
        </w:rPr>
        <w:t xml:space="preserve"> </w:t>
      </w:r>
      <w:r w:rsidR="00031F3B">
        <w:rPr>
          <w:rFonts w:ascii="Open Sans" w:hAnsi="Open Sans" w:cs="Open Sans"/>
          <w:sz w:val="20"/>
          <w:szCs w:val="20"/>
        </w:rPr>
        <w:t>dobička</w:t>
      </w:r>
      <w:r w:rsidR="00E46472">
        <w:rPr>
          <w:rFonts w:ascii="Open Sans" w:hAnsi="Open Sans" w:cs="Open Sans"/>
          <w:sz w:val="20"/>
          <w:szCs w:val="20"/>
        </w:rPr>
        <w:t xml:space="preserve"> v viš</w:t>
      </w:r>
      <w:r w:rsidR="00E46472" w:rsidRPr="0095496B">
        <w:rPr>
          <w:rFonts w:ascii="Open Sans" w:hAnsi="Open Sans" w:cs="Open Sans"/>
          <w:sz w:val="20"/>
          <w:szCs w:val="20"/>
        </w:rPr>
        <w:t xml:space="preserve">ini </w:t>
      </w:r>
      <w:r w:rsidR="00A628F3">
        <w:rPr>
          <w:rFonts w:ascii="Open Sans" w:hAnsi="Open Sans" w:cs="Open Sans"/>
          <w:sz w:val="20"/>
          <w:szCs w:val="20"/>
        </w:rPr>
        <w:t>536.054</w:t>
      </w:r>
      <w:r w:rsidR="006F1D1F" w:rsidRPr="00992E71">
        <w:rPr>
          <w:rFonts w:ascii="Open Sans" w:hAnsi="Open Sans" w:cs="Open Sans"/>
          <w:sz w:val="20"/>
          <w:szCs w:val="20"/>
        </w:rPr>
        <w:t xml:space="preserve"> EUR</w:t>
      </w:r>
      <w:r w:rsidR="000C3BAA">
        <w:rPr>
          <w:rFonts w:ascii="Open Sans" w:hAnsi="Open Sans" w:cs="Open Sans"/>
          <w:sz w:val="20"/>
          <w:szCs w:val="20"/>
        </w:rPr>
        <w:t xml:space="preserve"> in </w:t>
      </w:r>
      <w:r w:rsidR="00A628F3">
        <w:rPr>
          <w:rFonts w:ascii="Open Sans" w:hAnsi="Open Sans" w:cs="Open Sans"/>
          <w:sz w:val="20"/>
          <w:szCs w:val="20"/>
        </w:rPr>
        <w:t>povečanje</w:t>
      </w:r>
      <w:r w:rsidR="007E70F1">
        <w:rPr>
          <w:rFonts w:ascii="Open Sans" w:hAnsi="Open Sans" w:cs="Open Sans"/>
          <w:sz w:val="20"/>
          <w:szCs w:val="20"/>
        </w:rPr>
        <w:t xml:space="preserve"> rezerve, nastale zaradi vrednotenja finančnih naložb po pošteni vrednosti</w:t>
      </w:r>
      <w:r w:rsidR="000C3BAA">
        <w:rPr>
          <w:rFonts w:ascii="Open Sans" w:hAnsi="Open Sans" w:cs="Open Sans"/>
          <w:sz w:val="20"/>
          <w:szCs w:val="20"/>
        </w:rPr>
        <w:t xml:space="preserve"> v višini </w:t>
      </w:r>
      <w:r w:rsidR="00A628F3">
        <w:rPr>
          <w:rFonts w:ascii="Open Sans" w:hAnsi="Open Sans" w:cs="Open Sans"/>
          <w:sz w:val="20"/>
          <w:szCs w:val="20"/>
        </w:rPr>
        <w:t>36.910</w:t>
      </w:r>
      <w:r w:rsidR="000C3BAA">
        <w:rPr>
          <w:rFonts w:ascii="Open Sans" w:hAnsi="Open Sans" w:cs="Open Sans"/>
          <w:sz w:val="20"/>
          <w:szCs w:val="20"/>
        </w:rPr>
        <w:t xml:space="preserve"> EUR</w:t>
      </w:r>
      <w:r w:rsidR="006F1D1F" w:rsidRPr="00992E71">
        <w:rPr>
          <w:rFonts w:ascii="Open Sans" w:hAnsi="Open Sans" w:cs="Open Sans"/>
          <w:sz w:val="20"/>
          <w:szCs w:val="20"/>
        </w:rPr>
        <w:t>.</w:t>
      </w:r>
    </w:p>
    <w:p w14:paraId="311990FC" w14:textId="1C46BCC6" w:rsidR="007E4859" w:rsidRDefault="00610A16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rezervacijami in dolgoročnimi pasivnimi časovnimi razmejitvami</w:t>
      </w:r>
      <w:r w:rsidR="00BB4D17">
        <w:rPr>
          <w:rFonts w:ascii="Open Sans" w:hAnsi="Open Sans" w:cs="Open Sans"/>
          <w:sz w:val="20"/>
          <w:szCs w:val="20"/>
        </w:rPr>
        <w:t>, ki na dan 30.6</w:t>
      </w:r>
      <w:r w:rsidR="009045F3">
        <w:rPr>
          <w:rFonts w:ascii="Open Sans" w:hAnsi="Open Sans" w:cs="Open Sans"/>
          <w:sz w:val="20"/>
          <w:szCs w:val="20"/>
        </w:rPr>
        <w:t>.2020</w:t>
      </w:r>
      <w:r w:rsidR="007E4859"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BB4D17">
        <w:rPr>
          <w:rFonts w:ascii="Open Sans" w:hAnsi="Open Sans" w:cs="Open Sans"/>
          <w:sz w:val="20"/>
          <w:szCs w:val="20"/>
        </w:rPr>
        <w:t>418.612</w:t>
      </w:r>
      <w:r w:rsidR="007E4859" w:rsidRPr="00992E71">
        <w:rPr>
          <w:rFonts w:ascii="Open Sans" w:hAnsi="Open Sans" w:cs="Open Sans"/>
          <w:sz w:val="20"/>
          <w:szCs w:val="20"/>
        </w:rPr>
        <w:t xml:space="preserve"> EUR (31.12.201</w:t>
      </w:r>
      <w:r w:rsidR="009045F3">
        <w:rPr>
          <w:rFonts w:ascii="Open Sans" w:hAnsi="Open Sans" w:cs="Open Sans"/>
          <w:sz w:val="20"/>
          <w:szCs w:val="20"/>
        </w:rPr>
        <w:t>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2C2E88">
        <w:rPr>
          <w:rFonts w:ascii="Open Sans" w:hAnsi="Open Sans" w:cs="Open Sans"/>
          <w:sz w:val="20"/>
          <w:szCs w:val="20"/>
        </w:rPr>
        <w:t>446.227</w:t>
      </w:r>
      <w:r w:rsidRPr="00992E71">
        <w:rPr>
          <w:rFonts w:ascii="Open Sans" w:hAnsi="Open Sans" w:cs="Open Sans"/>
          <w:sz w:val="20"/>
          <w:szCs w:val="20"/>
        </w:rPr>
        <w:t xml:space="preserve"> EUR), družba izkazuje </w:t>
      </w:r>
      <w:r w:rsidR="00AC5A1F" w:rsidRPr="00992E71">
        <w:rPr>
          <w:rFonts w:ascii="Open Sans" w:hAnsi="Open Sans" w:cs="Open Sans"/>
          <w:sz w:val="20"/>
          <w:szCs w:val="20"/>
        </w:rPr>
        <w:t xml:space="preserve">za </w:t>
      </w:r>
      <w:r w:rsidR="00574CE1">
        <w:rPr>
          <w:rFonts w:ascii="Open Sans" w:hAnsi="Open Sans" w:cs="Open Sans"/>
          <w:sz w:val="20"/>
          <w:szCs w:val="20"/>
        </w:rPr>
        <w:t>274.942</w:t>
      </w:r>
      <w:r w:rsidR="00AC5A1F" w:rsidRPr="00992E71">
        <w:rPr>
          <w:rFonts w:ascii="Open Sans" w:hAnsi="Open Sans" w:cs="Open Sans"/>
          <w:sz w:val="20"/>
          <w:szCs w:val="20"/>
        </w:rPr>
        <w:t xml:space="preserve"> EUR reze</w:t>
      </w:r>
      <w:r w:rsidR="009045F3">
        <w:rPr>
          <w:rFonts w:ascii="Open Sans" w:hAnsi="Open Sans" w:cs="Open Sans"/>
          <w:sz w:val="20"/>
          <w:szCs w:val="20"/>
        </w:rPr>
        <w:t>rvacij za zaposlence (31.12.2019</w:t>
      </w:r>
      <w:r w:rsidR="00AC5A1F" w:rsidRPr="00992E71">
        <w:rPr>
          <w:rFonts w:ascii="Open Sans" w:hAnsi="Open Sans" w:cs="Open Sans"/>
          <w:sz w:val="20"/>
          <w:szCs w:val="20"/>
        </w:rPr>
        <w:t xml:space="preserve">: </w:t>
      </w:r>
      <w:r w:rsidR="002C2E88">
        <w:rPr>
          <w:rFonts w:ascii="Open Sans" w:hAnsi="Open Sans" w:cs="Open Sans"/>
          <w:sz w:val="20"/>
          <w:szCs w:val="20"/>
        </w:rPr>
        <w:t>274.942</w:t>
      </w:r>
      <w:r w:rsidR="00574CE1">
        <w:rPr>
          <w:rFonts w:ascii="Open Sans" w:hAnsi="Open Sans" w:cs="Open Sans"/>
          <w:sz w:val="20"/>
          <w:szCs w:val="20"/>
        </w:rPr>
        <w:t xml:space="preserve"> EUR), za </w:t>
      </w:r>
      <w:r w:rsidR="00B01BFB">
        <w:rPr>
          <w:rFonts w:ascii="Open Sans" w:hAnsi="Open Sans" w:cs="Open Sans"/>
          <w:sz w:val="20"/>
          <w:szCs w:val="20"/>
        </w:rPr>
        <w:t>40.970</w:t>
      </w:r>
      <w:r w:rsidR="00AC5A1F" w:rsidRPr="00992E71">
        <w:rPr>
          <w:rFonts w:ascii="Open Sans" w:hAnsi="Open Sans" w:cs="Open Sans"/>
          <w:sz w:val="20"/>
          <w:szCs w:val="20"/>
        </w:rPr>
        <w:t xml:space="preserve"> EUR dolgoročno razmejenih prihodkov iz naslova brezplačno pridobljen</w:t>
      </w:r>
      <w:r w:rsidR="009045F3">
        <w:rPr>
          <w:rFonts w:ascii="Open Sans" w:hAnsi="Open Sans" w:cs="Open Sans"/>
          <w:sz w:val="20"/>
          <w:szCs w:val="20"/>
        </w:rPr>
        <w:t>ih osnovnih sredstev (31.12.2019</w:t>
      </w:r>
      <w:r w:rsidR="00AC5A1F" w:rsidRPr="00992E71">
        <w:rPr>
          <w:rFonts w:ascii="Open Sans" w:hAnsi="Open Sans" w:cs="Open Sans"/>
          <w:sz w:val="20"/>
          <w:szCs w:val="20"/>
        </w:rPr>
        <w:t xml:space="preserve">: </w:t>
      </w:r>
      <w:r w:rsidR="004F142B">
        <w:rPr>
          <w:rFonts w:ascii="Open Sans" w:hAnsi="Open Sans" w:cs="Open Sans"/>
          <w:sz w:val="20"/>
          <w:szCs w:val="20"/>
        </w:rPr>
        <w:t>63.690</w:t>
      </w:r>
      <w:r w:rsidR="00AC5A1F" w:rsidRPr="00992E71">
        <w:rPr>
          <w:rFonts w:ascii="Open Sans" w:hAnsi="Open Sans" w:cs="Open Sans"/>
          <w:sz w:val="20"/>
          <w:szCs w:val="20"/>
        </w:rPr>
        <w:t xml:space="preserve"> EUR)</w:t>
      </w:r>
      <w:r w:rsidR="00574CE1">
        <w:rPr>
          <w:rFonts w:ascii="Open Sans" w:hAnsi="Open Sans" w:cs="Open Sans"/>
          <w:sz w:val="20"/>
          <w:szCs w:val="20"/>
        </w:rPr>
        <w:t xml:space="preserve">, za </w:t>
      </w:r>
      <w:r w:rsidR="00B01BFB">
        <w:rPr>
          <w:rFonts w:ascii="Open Sans" w:hAnsi="Open Sans" w:cs="Open Sans"/>
          <w:sz w:val="20"/>
          <w:szCs w:val="20"/>
        </w:rPr>
        <w:t>48.265</w:t>
      </w:r>
      <w:r w:rsidR="004F142B">
        <w:rPr>
          <w:rFonts w:ascii="Open Sans" w:hAnsi="Open Sans" w:cs="Open Sans"/>
          <w:sz w:val="20"/>
          <w:szCs w:val="20"/>
        </w:rPr>
        <w:t xml:space="preserve"> EUR dolgoročno razmejenih prihodkov od subvencij (31.12.2019: 53.161 EUR)</w:t>
      </w:r>
      <w:r w:rsidR="00AC5A1F" w:rsidRPr="00992E71">
        <w:rPr>
          <w:rFonts w:ascii="Open Sans" w:hAnsi="Open Sans" w:cs="Open Sans"/>
          <w:sz w:val="20"/>
          <w:szCs w:val="20"/>
        </w:rPr>
        <w:t xml:space="preserve"> in za </w:t>
      </w:r>
      <w:r w:rsidR="00B01BFB">
        <w:rPr>
          <w:rFonts w:ascii="Open Sans" w:hAnsi="Open Sans" w:cs="Open Sans"/>
          <w:sz w:val="20"/>
          <w:szCs w:val="20"/>
        </w:rPr>
        <w:t>54.434</w:t>
      </w:r>
      <w:r w:rsidR="00AC5A1F" w:rsidRPr="00992E71">
        <w:rPr>
          <w:rFonts w:ascii="Open Sans" w:hAnsi="Open Sans" w:cs="Open Sans"/>
          <w:sz w:val="20"/>
          <w:szCs w:val="20"/>
        </w:rPr>
        <w:t xml:space="preserve"> EUR drugih do</w:t>
      </w:r>
      <w:r w:rsidR="004F142B">
        <w:rPr>
          <w:rFonts w:ascii="Open Sans" w:hAnsi="Open Sans" w:cs="Open Sans"/>
          <w:sz w:val="20"/>
          <w:szCs w:val="20"/>
        </w:rPr>
        <w:t>lgoročnih</w:t>
      </w:r>
      <w:r w:rsidR="00575791" w:rsidRPr="00992E71">
        <w:rPr>
          <w:rFonts w:ascii="Open Sans" w:hAnsi="Open Sans" w:cs="Open Sans"/>
          <w:sz w:val="20"/>
          <w:szCs w:val="20"/>
        </w:rPr>
        <w:t xml:space="preserve"> </w:t>
      </w:r>
      <w:r w:rsidR="004F142B">
        <w:rPr>
          <w:rFonts w:ascii="Open Sans" w:hAnsi="Open Sans" w:cs="Open Sans"/>
          <w:sz w:val="20"/>
          <w:szCs w:val="20"/>
        </w:rPr>
        <w:t>pasivnih časovnih razmejitev</w:t>
      </w:r>
      <w:r w:rsidR="00575791" w:rsidRPr="00992E71">
        <w:rPr>
          <w:rFonts w:ascii="Open Sans" w:hAnsi="Open Sans" w:cs="Open Sans"/>
          <w:sz w:val="20"/>
          <w:szCs w:val="20"/>
        </w:rPr>
        <w:t xml:space="preserve"> (</w:t>
      </w:r>
      <w:r w:rsidR="004F142B">
        <w:rPr>
          <w:rFonts w:ascii="Open Sans" w:hAnsi="Open Sans" w:cs="Open Sans"/>
          <w:sz w:val="20"/>
          <w:szCs w:val="20"/>
        </w:rPr>
        <w:t>31.12.2019: 54.434</w:t>
      </w:r>
      <w:r w:rsidR="00AC5A1F" w:rsidRPr="00992E71">
        <w:rPr>
          <w:rFonts w:ascii="Open Sans" w:hAnsi="Open Sans" w:cs="Open Sans"/>
          <w:sz w:val="20"/>
          <w:szCs w:val="20"/>
        </w:rPr>
        <w:t xml:space="preserve"> EUR).</w:t>
      </w:r>
      <w:r w:rsidR="00575791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3367D475" w14:textId="51F8F4DE" w:rsidR="00CA7A2F" w:rsidRPr="00992E71" w:rsidRDefault="00241077" w:rsidP="00A37D3A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F</w:t>
      </w:r>
      <w:r w:rsidR="00CA7A2F" w:rsidRPr="00CA7A2F">
        <w:rPr>
          <w:rFonts w:ascii="Open Sans" w:hAnsi="Open Sans" w:cs="Open Sans"/>
          <w:sz w:val="20"/>
          <w:szCs w:val="20"/>
        </w:rPr>
        <w:t>inančne obveznosti</w:t>
      </w:r>
      <w:r w:rsidR="00262129">
        <w:rPr>
          <w:rFonts w:ascii="Open Sans" w:hAnsi="Open Sans" w:cs="Open Sans"/>
          <w:sz w:val="20"/>
          <w:szCs w:val="20"/>
        </w:rPr>
        <w:t xml:space="preserve">, ki na 30.6.2020 </w:t>
      </w:r>
      <w:r w:rsidR="00CE0F2B">
        <w:rPr>
          <w:rFonts w:ascii="Open Sans" w:hAnsi="Open Sans" w:cs="Open Sans"/>
          <w:sz w:val="20"/>
          <w:szCs w:val="20"/>
        </w:rPr>
        <w:t xml:space="preserve">znašajo </w:t>
      </w:r>
      <w:r w:rsidR="005E74A7">
        <w:rPr>
          <w:rFonts w:ascii="Open Sans" w:hAnsi="Open Sans" w:cs="Open Sans"/>
          <w:sz w:val="20"/>
          <w:szCs w:val="20"/>
        </w:rPr>
        <w:t>1.608.187</w:t>
      </w:r>
      <w:r>
        <w:rPr>
          <w:rFonts w:ascii="Open Sans" w:hAnsi="Open Sans" w:cs="Open Sans"/>
          <w:sz w:val="20"/>
          <w:szCs w:val="20"/>
        </w:rPr>
        <w:t xml:space="preserve"> EUR (31.12.2019: 1.847.476 EUR), se nanašajo predvsem na finančne obveznosti</w:t>
      </w:r>
      <w:r w:rsidR="00CA7A2F" w:rsidRPr="00CA7A2F">
        <w:rPr>
          <w:rFonts w:ascii="Open Sans" w:hAnsi="Open Sans" w:cs="Open Sans"/>
          <w:sz w:val="20"/>
          <w:szCs w:val="20"/>
        </w:rPr>
        <w:t xml:space="preserve"> iz najemov</w:t>
      </w:r>
      <w:r>
        <w:rPr>
          <w:rFonts w:ascii="Open Sans" w:hAnsi="Open Sans" w:cs="Open Sans"/>
          <w:sz w:val="20"/>
          <w:szCs w:val="20"/>
        </w:rPr>
        <w:t>. Te</w:t>
      </w:r>
      <w:r w:rsidR="00CA7A2F" w:rsidRPr="00CA7A2F">
        <w:rPr>
          <w:rFonts w:ascii="Open Sans" w:hAnsi="Open Sans" w:cs="Open Sans"/>
          <w:sz w:val="20"/>
          <w:szCs w:val="20"/>
        </w:rPr>
        <w:t xml:space="preserve"> </w:t>
      </w:r>
      <w:r w:rsidR="005E74A7">
        <w:rPr>
          <w:rFonts w:ascii="Open Sans" w:hAnsi="Open Sans" w:cs="Open Sans"/>
          <w:sz w:val="20"/>
          <w:szCs w:val="20"/>
        </w:rPr>
        <w:t>na 30.6</w:t>
      </w:r>
      <w:r w:rsidR="009853BF">
        <w:rPr>
          <w:rFonts w:ascii="Open Sans" w:hAnsi="Open Sans" w:cs="Open Sans"/>
          <w:sz w:val="20"/>
          <w:szCs w:val="20"/>
        </w:rPr>
        <w:t xml:space="preserve">.2020 znašajo </w:t>
      </w:r>
      <w:r w:rsidR="0090397B">
        <w:rPr>
          <w:rFonts w:ascii="Open Sans" w:hAnsi="Open Sans" w:cs="Open Sans"/>
          <w:sz w:val="20"/>
          <w:szCs w:val="20"/>
        </w:rPr>
        <w:t>1.604.962</w:t>
      </w:r>
      <w:r>
        <w:rPr>
          <w:rFonts w:ascii="Open Sans" w:hAnsi="Open Sans" w:cs="Open Sans"/>
          <w:sz w:val="20"/>
          <w:szCs w:val="20"/>
        </w:rPr>
        <w:t xml:space="preserve"> EUR (31.12.2019: 1.844.252 EUR) in predstavljajo</w:t>
      </w:r>
      <w:r w:rsidR="00CA7A2F" w:rsidRPr="00CA7A2F">
        <w:rPr>
          <w:rFonts w:ascii="Open Sans" w:hAnsi="Open Sans" w:cs="Open Sans"/>
          <w:sz w:val="20"/>
          <w:szCs w:val="20"/>
        </w:rPr>
        <w:t xml:space="preserve"> obveznosti za bodoče najemnine, ki izhajajo iz že sklenjenih najemnih pogodb za najete prostore, v katerih opravljamo lastno trgovinsko dejavnost.</w:t>
      </w:r>
    </w:p>
    <w:p w14:paraId="5A90D342" w14:textId="30821507" w:rsidR="009B4952" w:rsidRPr="00C17044" w:rsidRDefault="0037320A" w:rsidP="00A37D3A">
      <w:pPr>
        <w:jc w:val="both"/>
        <w:rPr>
          <w:rFonts w:ascii="Open Sans" w:hAnsi="Open Sans" w:cs="Open Sans"/>
          <w:color w:val="FF0000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kratkoročnimi poslovni</w:t>
      </w:r>
      <w:r w:rsidR="00E2583D">
        <w:rPr>
          <w:rFonts w:ascii="Open Sans" w:hAnsi="Open Sans" w:cs="Open Sans"/>
          <w:sz w:val="20"/>
          <w:szCs w:val="20"/>
        </w:rPr>
        <w:t xml:space="preserve">mi obveznostmi, ki na dan </w:t>
      </w:r>
      <w:r w:rsidR="009342E7">
        <w:rPr>
          <w:rFonts w:ascii="Open Sans" w:hAnsi="Open Sans" w:cs="Open Sans"/>
          <w:sz w:val="20"/>
          <w:szCs w:val="20"/>
        </w:rPr>
        <w:t>30.6</w:t>
      </w:r>
      <w:r w:rsidR="00774734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9342E7">
        <w:rPr>
          <w:rFonts w:ascii="Open Sans" w:hAnsi="Open Sans" w:cs="Open Sans"/>
          <w:sz w:val="20"/>
          <w:szCs w:val="20"/>
        </w:rPr>
        <w:t>1.629.064</w:t>
      </w:r>
      <w:r w:rsidR="00774734">
        <w:rPr>
          <w:rFonts w:ascii="Open Sans" w:hAnsi="Open Sans" w:cs="Open Sans"/>
          <w:sz w:val="20"/>
          <w:szCs w:val="20"/>
        </w:rPr>
        <w:t xml:space="preserve"> EUR (31.12.2019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9D1378">
        <w:rPr>
          <w:rFonts w:ascii="Open Sans" w:hAnsi="Open Sans" w:cs="Open Sans"/>
          <w:sz w:val="20"/>
          <w:szCs w:val="20"/>
        </w:rPr>
        <w:t>1.223.184</w:t>
      </w:r>
      <w:r w:rsidRPr="00992E71">
        <w:rPr>
          <w:rFonts w:ascii="Open Sans" w:hAnsi="Open Sans" w:cs="Open Sans"/>
          <w:sz w:val="20"/>
          <w:szCs w:val="20"/>
        </w:rPr>
        <w:t xml:space="preserve"> EUR), največji delež predstavljajo obveznosti do dobaviteljev</w:t>
      </w:r>
      <w:r w:rsidR="009342E7">
        <w:rPr>
          <w:rFonts w:ascii="Open Sans" w:hAnsi="Open Sans" w:cs="Open Sans"/>
          <w:sz w:val="20"/>
          <w:szCs w:val="20"/>
        </w:rPr>
        <w:t>, ki na 30.6</w:t>
      </w:r>
      <w:r w:rsidR="00774734">
        <w:rPr>
          <w:rFonts w:ascii="Open Sans" w:hAnsi="Open Sans" w:cs="Open Sans"/>
          <w:sz w:val="20"/>
          <w:szCs w:val="20"/>
        </w:rPr>
        <w:t>.2020</w:t>
      </w:r>
      <w:r w:rsidR="006336D1" w:rsidRPr="00992E71">
        <w:rPr>
          <w:rFonts w:ascii="Open Sans" w:hAnsi="Open Sans" w:cs="Open Sans"/>
          <w:sz w:val="20"/>
          <w:szCs w:val="20"/>
        </w:rPr>
        <w:t xml:space="preserve"> </w:t>
      </w:r>
      <w:r w:rsidR="00553E4E" w:rsidRPr="00992E71">
        <w:rPr>
          <w:rFonts w:ascii="Open Sans" w:hAnsi="Open Sans" w:cs="Open Sans"/>
          <w:sz w:val="20"/>
          <w:szCs w:val="20"/>
        </w:rPr>
        <w:t xml:space="preserve">znašajo </w:t>
      </w:r>
      <w:r w:rsidR="009342E7">
        <w:rPr>
          <w:rFonts w:ascii="Open Sans" w:hAnsi="Open Sans" w:cs="Open Sans"/>
          <w:sz w:val="20"/>
          <w:szCs w:val="20"/>
        </w:rPr>
        <w:t>1.018.924</w:t>
      </w:r>
      <w:r w:rsidR="00774734">
        <w:rPr>
          <w:rFonts w:ascii="Open Sans" w:hAnsi="Open Sans" w:cs="Open Sans"/>
          <w:sz w:val="20"/>
          <w:szCs w:val="20"/>
        </w:rPr>
        <w:t xml:space="preserve"> EUR (31.12.2019</w:t>
      </w:r>
      <w:r w:rsidR="00553E4E" w:rsidRPr="00992E71">
        <w:rPr>
          <w:rFonts w:ascii="Open Sans" w:hAnsi="Open Sans" w:cs="Open Sans"/>
          <w:sz w:val="20"/>
          <w:szCs w:val="20"/>
        </w:rPr>
        <w:t xml:space="preserve">: </w:t>
      </w:r>
      <w:r w:rsidR="009D1378">
        <w:rPr>
          <w:rFonts w:ascii="Open Sans" w:hAnsi="Open Sans" w:cs="Open Sans"/>
          <w:sz w:val="20"/>
          <w:szCs w:val="20"/>
        </w:rPr>
        <w:t>447.372</w:t>
      </w:r>
      <w:r w:rsidR="00553E4E" w:rsidRPr="00992E71">
        <w:rPr>
          <w:rFonts w:ascii="Open Sans" w:hAnsi="Open Sans" w:cs="Open Sans"/>
          <w:sz w:val="20"/>
          <w:szCs w:val="20"/>
        </w:rPr>
        <w:t xml:space="preserve"> EUR)</w:t>
      </w:r>
      <w:r w:rsidR="00B578FC">
        <w:rPr>
          <w:rFonts w:ascii="Open Sans" w:hAnsi="Open Sans" w:cs="Open Sans"/>
          <w:sz w:val="20"/>
          <w:szCs w:val="20"/>
        </w:rPr>
        <w:t xml:space="preserve">. </w:t>
      </w:r>
      <w:r w:rsidR="00B97717">
        <w:rPr>
          <w:rFonts w:ascii="Open Sans" w:hAnsi="Open Sans" w:cs="Open Sans"/>
          <w:sz w:val="20"/>
          <w:szCs w:val="20"/>
        </w:rPr>
        <w:t>Povečanje</w:t>
      </w:r>
      <w:r w:rsidR="00075D28" w:rsidRPr="000F6F70">
        <w:rPr>
          <w:rFonts w:ascii="Open Sans" w:hAnsi="Open Sans" w:cs="Open Sans"/>
          <w:sz w:val="20"/>
          <w:szCs w:val="20"/>
        </w:rPr>
        <w:t xml:space="preserve"> v stanju </w:t>
      </w:r>
      <w:r w:rsidR="007C0272" w:rsidRPr="000F6F70">
        <w:rPr>
          <w:rFonts w:ascii="Open Sans" w:hAnsi="Open Sans" w:cs="Open Sans"/>
          <w:sz w:val="20"/>
          <w:szCs w:val="20"/>
        </w:rPr>
        <w:t xml:space="preserve">obveznosti do dobaviteljev </w:t>
      </w:r>
      <w:r w:rsidR="00075D28" w:rsidRPr="000F6F70">
        <w:rPr>
          <w:rFonts w:ascii="Open Sans" w:hAnsi="Open Sans" w:cs="Open Sans"/>
          <w:sz w:val="20"/>
          <w:szCs w:val="20"/>
        </w:rPr>
        <w:t xml:space="preserve">je </w:t>
      </w:r>
      <w:r w:rsidR="009342E7">
        <w:rPr>
          <w:rFonts w:ascii="Open Sans" w:hAnsi="Open Sans" w:cs="Open Sans"/>
          <w:sz w:val="20"/>
          <w:szCs w:val="20"/>
        </w:rPr>
        <w:t xml:space="preserve">predvsem </w:t>
      </w:r>
      <w:r w:rsidR="00075D28" w:rsidRPr="000F6F70">
        <w:rPr>
          <w:rFonts w:ascii="Open Sans" w:hAnsi="Open Sans" w:cs="Open Sans"/>
          <w:sz w:val="20"/>
          <w:szCs w:val="20"/>
        </w:rPr>
        <w:t xml:space="preserve">posledica </w:t>
      </w:r>
      <w:r w:rsidR="009342E7">
        <w:rPr>
          <w:rFonts w:ascii="Open Sans" w:hAnsi="Open Sans" w:cs="Open Sans"/>
          <w:sz w:val="20"/>
          <w:szCs w:val="20"/>
        </w:rPr>
        <w:t>odprtih obveznosti iz naslova nakupa poslovnih prostorov</w:t>
      </w:r>
      <w:r w:rsidR="00D55457">
        <w:rPr>
          <w:rFonts w:ascii="Open Sans" w:hAnsi="Open Sans" w:cs="Open Sans"/>
          <w:sz w:val="20"/>
          <w:szCs w:val="20"/>
        </w:rPr>
        <w:t>.</w:t>
      </w:r>
    </w:p>
    <w:p w14:paraId="0105765A" w14:textId="77777777" w:rsidR="00F85BE0" w:rsidRPr="00992E71" w:rsidRDefault="00F85BE0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Kratkoročne pasivne časovne razmejitve se nanašajo na vnaprej vračunane stroške in kratkoročno odložene prihodke iz naslova brezplačno pridobljenih osnovnih sredstev in subvencij.</w:t>
      </w:r>
    </w:p>
    <w:p w14:paraId="499A1956" w14:textId="77777777" w:rsidR="0037320A" w:rsidRPr="00992E71" w:rsidRDefault="00266722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37CACC63" w14:textId="77777777" w:rsidR="00FB269A" w:rsidRPr="00992E71" w:rsidRDefault="00FB269A" w:rsidP="008524AE">
      <w:pPr>
        <w:pStyle w:val="Odstavekseznama"/>
        <w:numPr>
          <w:ilvl w:val="2"/>
          <w:numId w:val="12"/>
        </w:numPr>
        <w:ind w:left="505" w:hanging="505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 xml:space="preserve">Pojasnila k postavkam povzetka </w:t>
      </w:r>
      <w:r w:rsidR="00DA0A82" w:rsidRPr="00992E71">
        <w:rPr>
          <w:rFonts w:ascii="Open Sans" w:hAnsi="Open Sans" w:cs="Open Sans"/>
          <w:b/>
          <w:sz w:val="20"/>
          <w:szCs w:val="20"/>
        </w:rPr>
        <w:t>celotnega izkaza vseobsegajočega donosa</w:t>
      </w:r>
    </w:p>
    <w:p w14:paraId="0BE84DED" w14:textId="77777777" w:rsidR="0031432D" w:rsidRDefault="00A97387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Čisti prihodki od p</w:t>
      </w:r>
      <w:r w:rsidR="00C4523B">
        <w:rPr>
          <w:rFonts w:ascii="Open Sans" w:hAnsi="Open Sans" w:cs="Open Sans"/>
          <w:sz w:val="20"/>
          <w:szCs w:val="20"/>
        </w:rPr>
        <w:t xml:space="preserve">rodaje so </w:t>
      </w:r>
      <w:r w:rsidR="001543EC">
        <w:rPr>
          <w:rFonts w:ascii="Open Sans" w:hAnsi="Open Sans" w:cs="Open Sans"/>
          <w:sz w:val="20"/>
          <w:szCs w:val="20"/>
        </w:rPr>
        <w:t>v obdobju 1.1. do 30.6</w:t>
      </w:r>
      <w:r w:rsidR="009E3696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zna</w:t>
      </w:r>
      <w:r w:rsidR="00BA488C">
        <w:rPr>
          <w:rFonts w:ascii="Open Sans" w:hAnsi="Open Sans" w:cs="Open Sans"/>
          <w:sz w:val="20"/>
          <w:szCs w:val="20"/>
        </w:rPr>
        <w:t>šal</w:t>
      </w:r>
      <w:r w:rsidR="00BA488C" w:rsidRPr="00B31DBB">
        <w:rPr>
          <w:rFonts w:ascii="Open Sans" w:hAnsi="Open Sans" w:cs="Open Sans"/>
          <w:sz w:val="20"/>
          <w:szCs w:val="20"/>
        </w:rPr>
        <w:t xml:space="preserve">i </w:t>
      </w:r>
      <w:r w:rsidR="001543EC">
        <w:rPr>
          <w:rFonts w:ascii="Open Sans" w:hAnsi="Open Sans" w:cs="Open Sans"/>
          <w:sz w:val="20"/>
          <w:szCs w:val="20"/>
        </w:rPr>
        <w:t>3.610.105</w:t>
      </w:r>
      <w:r w:rsidR="00743145">
        <w:rPr>
          <w:rFonts w:ascii="Open Sans" w:hAnsi="Open Sans" w:cs="Open Sans"/>
          <w:sz w:val="20"/>
          <w:szCs w:val="20"/>
        </w:rPr>
        <w:t xml:space="preserve"> EUR (1.1. do 3</w:t>
      </w:r>
      <w:r w:rsidR="001543EC">
        <w:rPr>
          <w:rFonts w:ascii="Open Sans" w:hAnsi="Open Sans" w:cs="Open Sans"/>
          <w:sz w:val="20"/>
          <w:szCs w:val="20"/>
        </w:rPr>
        <w:t>0.6</w:t>
      </w:r>
      <w:r w:rsidR="00134FC6">
        <w:rPr>
          <w:rFonts w:ascii="Open Sans" w:hAnsi="Open Sans" w:cs="Open Sans"/>
          <w:sz w:val="20"/>
          <w:szCs w:val="20"/>
        </w:rPr>
        <w:t>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1543EC">
        <w:rPr>
          <w:rFonts w:ascii="Open Sans" w:hAnsi="Open Sans" w:cs="Open Sans"/>
          <w:sz w:val="20"/>
          <w:szCs w:val="20"/>
        </w:rPr>
        <w:t>6.632.771</w:t>
      </w:r>
      <w:r w:rsidRPr="00992E71">
        <w:rPr>
          <w:rFonts w:ascii="Open Sans" w:hAnsi="Open Sans" w:cs="Open Sans"/>
          <w:sz w:val="20"/>
          <w:szCs w:val="20"/>
        </w:rPr>
        <w:t xml:space="preserve"> EUR). </w:t>
      </w:r>
    </w:p>
    <w:p w14:paraId="2A044BB6" w14:textId="554755AF" w:rsidR="0031432D" w:rsidRDefault="00A97387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Med čistimi prihodki od prodaje največji znesek predstavljajo prihodki od prodaje trgo</w:t>
      </w:r>
      <w:r w:rsidR="0081028F">
        <w:rPr>
          <w:rFonts w:ascii="Open Sans" w:hAnsi="Open Sans" w:cs="Open Sans"/>
          <w:sz w:val="20"/>
          <w:szCs w:val="20"/>
        </w:rPr>
        <w:t>vskega blaga, ki v tem</w:t>
      </w:r>
      <w:r w:rsidRPr="00992E71">
        <w:rPr>
          <w:rFonts w:ascii="Open Sans" w:hAnsi="Open Sans" w:cs="Open Sans"/>
          <w:sz w:val="20"/>
          <w:szCs w:val="20"/>
        </w:rPr>
        <w:t xml:space="preserve"> obdobju znašajo</w:t>
      </w:r>
      <w:r w:rsidRPr="00254A5C">
        <w:rPr>
          <w:rFonts w:ascii="Open Sans" w:hAnsi="Open Sans" w:cs="Open Sans"/>
          <w:sz w:val="20"/>
          <w:szCs w:val="20"/>
        </w:rPr>
        <w:t xml:space="preserve"> </w:t>
      </w:r>
      <w:r w:rsidR="001543EC">
        <w:rPr>
          <w:rFonts w:ascii="Open Sans" w:hAnsi="Open Sans" w:cs="Open Sans"/>
          <w:sz w:val="20"/>
          <w:szCs w:val="20"/>
        </w:rPr>
        <w:t>2.</w:t>
      </w:r>
      <w:r w:rsidR="00297265">
        <w:rPr>
          <w:rFonts w:ascii="Open Sans" w:hAnsi="Open Sans" w:cs="Open Sans"/>
          <w:sz w:val="20"/>
          <w:szCs w:val="20"/>
        </w:rPr>
        <w:t>818.255</w:t>
      </w:r>
      <w:r w:rsidR="001543EC">
        <w:rPr>
          <w:rFonts w:ascii="Open Sans" w:hAnsi="Open Sans" w:cs="Open Sans"/>
          <w:sz w:val="20"/>
          <w:szCs w:val="20"/>
        </w:rPr>
        <w:t xml:space="preserve"> EUR (1.1. do 30.6</w:t>
      </w:r>
      <w:r w:rsidR="00C96ED3">
        <w:rPr>
          <w:rFonts w:ascii="Open Sans" w:hAnsi="Open Sans" w:cs="Open Sans"/>
          <w:sz w:val="20"/>
          <w:szCs w:val="20"/>
        </w:rPr>
        <w:t>.2019</w:t>
      </w:r>
      <w:r w:rsidRPr="00992E71">
        <w:rPr>
          <w:rFonts w:ascii="Open Sans" w:hAnsi="Open Sans" w:cs="Open Sans"/>
          <w:sz w:val="20"/>
          <w:szCs w:val="20"/>
        </w:rPr>
        <w:t>:</w:t>
      </w:r>
      <w:r w:rsidR="0054002D">
        <w:rPr>
          <w:rFonts w:ascii="Open Sans" w:hAnsi="Open Sans" w:cs="Open Sans"/>
          <w:sz w:val="20"/>
          <w:szCs w:val="20"/>
        </w:rPr>
        <w:t xml:space="preserve"> </w:t>
      </w:r>
      <w:r w:rsidR="001543EC">
        <w:rPr>
          <w:rFonts w:ascii="Open Sans" w:hAnsi="Open Sans" w:cs="Open Sans"/>
          <w:sz w:val="20"/>
          <w:szCs w:val="20"/>
        </w:rPr>
        <w:t>5.807.397</w:t>
      </w:r>
      <w:r w:rsidR="00524CE2" w:rsidRPr="00992E71">
        <w:rPr>
          <w:rFonts w:ascii="Open Sans" w:hAnsi="Open Sans" w:cs="Open Sans"/>
          <w:sz w:val="20"/>
          <w:szCs w:val="20"/>
        </w:rPr>
        <w:t xml:space="preserve"> EUR</w:t>
      </w:r>
      <w:r w:rsidRPr="00992E71">
        <w:rPr>
          <w:rFonts w:ascii="Open Sans" w:hAnsi="Open Sans" w:cs="Open Sans"/>
          <w:sz w:val="20"/>
          <w:szCs w:val="20"/>
        </w:rPr>
        <w:t>).</w:t>
      </w:r>
      <w:r w:rsidR="00650AFA" w:rsidRPr="00992E71">
        <w:rPr>
          <w:rFonts w:ascii="Open Sans" w:hAnsi="Open Sans" w:cs="Open Sans"/>
          <w:sz w:val="20"/>
          <w:szCs w:val="20"/>
        </w:rPr>
        <w:t xml:space="preserve"> </w:t>
      </w:r>
      <w:r w:rsidR="0031432D">
        <w:rPr>
          <w:rFonts w:ascii="Open Sans" w:hAnsi="Open Sans" w:cs="Open Sans"/>
          <w:sz w:val="20"/>
          <w:szCs w:val="20"/>
        </w:rPr>
        <w:t xml:space="preserve">Upad prihodkov od </w:t>
      </w:r>
      <w:r w:rsidR="0031432D">
        <w:rPr>
          <w:rFonts w:ascii="Open Sans" w:hAnsi="Open Sans" w:cs="Open Sans"/>
          <w:sz w:val="20"/>
          <w:szCs w:val="20"/>
        </w:rPr>
        <w:lastRenderedPageBreak/>
        <w:t xml:space="preserve">prodaje trgovskega blaga v primerjavi s primerljivim obdobjem preteklega leta je povezan z ne poslovanjem maloprodajnih enot v času krize </w:t>
      </w:r>
      <w:proofErr w:type="spellStart"/>
      <w:r w:rsidR="0031432D">
        <w:rPr>
          <w:rFonts w:ascii="Open Sans" w:hAnsi="Open Sans" w:cs="Open Sans"/>
          <w:sz w:val="20"/>
          <w:szCs w:val="20"/>
        </w:rPr>
        <w:t>Covid</w:t>
      </w:r>
      <w:proofErr w:type="spellEnd"/>
      <w:r w:rsidR="0031432D">
        <w:rPr>
          <w:rFonts w:ascii="Open Sans" w:hAnsi="Open Sans" w:cs="Open Sans"/>
          <w:sz w:val="20"/>
          <w:szCs w:val="20"/>
        </w:rPr>
        <w:t xml:space="preserve"> 19.</w:t>
      </w:r>
    </w:p>
    <w:p w14:paraId="7A0FD697" w14:textId="20B9CFAE" w:rsidR="009C6A9A" w:rsidRDefault="00650AFA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Prihodki od</w:t>
      </w:r>
      <w:r w:rsidR="004D57F9">
        <w:rPr>
          <w:rFonts w:ascii="Open Sans" w:hAnsi="Open Sans" w:cs="Open Sans"/>
          <w:sz w:val="20"/>
          <w:szCs w:val="20"/>
        </w:rPr>
        <w:t xml:space="preserve"> najemn</w:t>
      </w:r>
      <w:r w:rsidR="001543EC">
        <w:rPr>
          <w:rFonts w:ascii="Open Sans" w:hAnsi="Open Sans" w:cs="Open Sans"/>
          <w:sz w:val="20"/>
          <w:szCs w:val="20"/>
        </w:rPr>
        <w:t>in v obdobju 1.1. do 30.6</w:t>
      </w:r>
      <w:r w:rsidR="004D57F9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1543EC">
        <w:rPr>
          <w:rFonts w:ascii="Open Sans" w:hAnsi="Open Sans" w:cs="Open Sans"/>
          <w:sz w:val="20"/>
          <w:szCs w:val="20"/>
        </w:rPr>
        <w:t>786.207</w:t>
      </w:r>
      <w:r w:rsidR="00E63FC6">
        <w:rPr>
          <w:rFonts w:ascii="Open Sans" w:hAnsi="Open Sans" w:cs="Open Sans"/>
          <w:sz w:val="20"/>
          <w:szCs w:val="20"/>
        </w:rPr>
        <w:t xml:space="preserve"> EUR (1.1.</w:t>
      </w:r>
      <w:r w:rsidR="001543EC">
        <w:rPr>
          <w:rFonts w:ascii="Open Sans" w:hAnsi="Open Sans" w:cs="Open Sans"/>
          <w:sz w:val="20"/>
          <w:szCs w:val="20"/>
        </w:rPr>
        <w:t xml:space="preserve"> do 30.6</w:t>
      </w:r>
      <w:r w:rsidR="004D57F9">
        <w:rPr>
          <w:rFonts w:ascii="Open Sans" w:hAnsi="Open Sans" w:cs="Open Sans"/>
          <w:sz w:val="20"/>
          <w:szCs w:val="20"/>
        </w:rPr>
        <w:t>.2019</w:t>
      </w:r>
      <w:r w:rsidR="00F06D47" w:rsidRPr="00992E71">
        <w:rPr>
          <w:rFonts w:ascii="Open Sans" w:hAnsi="Open Sans" w:cs="Open Sans"/>
          <w:sz w:val="20"/>
          <w:szCs w:val="20"/>
        </w:rPr>
        <w:t xml:space="preserve">: </w:t>
      </w:r>
      <w:r w:rsidR="001543EC">
        <w:rPr>
          <w:rFonts w:ascii="Open Sans" w:hAnsi="Open Sans" w:cs="Open Sans"/>
          <w:sz w:val="20"/>
          <w:szCs w:val="20"/>
        </w:rPr>
        <w:t>825.374</w:t>
      </w:r>
      <w:r w:rsidR="005A3FC3">
        <w:rPr>
          <w:rFonts w:ascii="Open Sans" w:hAnsi="Open Sans" w:cs="Open Sans"/>
          <w:sz w:val="20"/>
          <w:szCs w:val="20"/>
        </w:rPr>
        <w:t xml:space="preserve"> </w:t>
      </w:r>
      <w:r w:rsidR="00F06D47" w:rsidRPr="00992E71">
        <w:rPr>
          <w:rFonts w:ascii="Open Sans" w:hAnsi="Open Sans" w:cs="Open Sans"/>
          <w:sz w:val="20"/>
          <w:szCs w:val="20"/>
        </w:rPr>
        <w:t>EUR).</w:t>
      </w:r>
      <w:r w:rsidR="00CB7BD4" w:rsidRPr="00992E71">
        <w:rPr>
          <w:rFonts w:ascii="Open Sans" w:hAnsi="Open Sans" w:cs="Open Sans"/>
          <w:sz w:val="20"/>
          <w:szCs w:val="20"/>
        </w:rPr>
        <w:t xml:space="preserve"> </w:t>
      </w:r>
    </w:p>
    <w:p w14:paraId="4CA85CE2" w14:textId="136103E1" w:rsidR="00FB269A" w:rsidRPr="00992E71" w:rsidRDefault="009C6A9A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Dru</w:t>
      </w:r>
      <w:r w:rsidR="00DD1B90">
        <w:rPr>
          <w:rFonts w:ascii="Open Sans" w:hAnsi="Open Sans" w:cs="Open Sans"/>
          <w:sz w:val="20"/>
          <w:szCs w:val="20"/>
        </w:rPr>
        <w:t>gi p</w:t>
      </w:r>
      <w:r w:rsidR="00AE15C9">
        <w:rPr>
          <w:rFonts w:ascii="Open Sans" w:hAnsi="Open Sans" w:cs="Open Sans"/>
          <w:sz w:val="20"/>
          <w:szCs w:val="20"/>
        </w:rPr>
        <w:t xml:space="preserve">oslovni prihodki v </w:t>
      </w:r>
      <w:r w:rsidR="000B1F7B">
        <w:rPr>
          <w:rFonts w:ascii="Open Sans" w:hAnsi="Open Sans" w:cs="Open Sans"/>
          <w:sz w:val="20"/>
          <w:szCs w:val="20"/>
        </w:rPr>
        <w:t>prvem polletju</w:t>
      </w:r>
      <w:r w:rsidR="00AE15C9">
        <w:rPr>
          <w:rFonts w:ascii="Open Sans" w:hAnsi="Open Sans" w:cs="Open Sans"/>
          <w:sz w:val="20"/>
          <w:szCs w:val="20"/>
        </w:rPr>
        <w:t xml:space="preserve"> leta 2020</w:t>
      </w:r>
      <w:r w:rsidRPr="00992E71">
        <w:rPr>
          <w:rFonts w:ascii="Open Sans" w:hAnsi="Open Sans" w:cs="Open Sans"/>
          <w:sz w:val="20"/>
          <w:szCs w:val="20"/>
        </w:rPr>
        <w:t xml:space="preserve"> znašajo </w:t>
      </w:r>
      <w:r w:rsidR="000B1F7B">
        <w:rPr>
          <w:rFonts w:ascii="Open Sans" w:hAnsi="Open Sans" w:cs="Open Sans"/>
          <w:sz w:val="20"/>
          <w:szCs w:val="20"/>
        </w:rPr>
        <w:t>1.230.764 EUR (1.1. do 30.6</w:t>
      </w:r>
      <w:r w:rsidR="00AE15C9">
        <w:rPr>
          <w:rFonts w:ascii="Open Sans" w:hAnsi="Open Sans" w:cs="Open Sans"/>
          <w:sz w:val="20"/>
          <w:szCs w:val="20"/>
        </w:rPr>
        <w:t>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0B1F7B">
        <w:rPr>
          <w:rFonts w:ascii="Open Sans" w:hAnsi="Open Sans" w:cs="Open Sans"/>
          <w:sz w:val="20"/>
          <w:szCs w:val="20"/>
        </w:rPr>
        <w:t>454.668</w:t>
      </w:r>
      <w:r w:rsidR="00BF3D62">
        <w:rPr>
          <w:rFonts w:ascii="Open Sans" w:hAnsi="Open Sans" w:cs="Open Sans"/>
          <w:sz w:val="20"/>
          <w:szCs w:val="20"/>
        </w:rPr>
        <w:t xml:space="preserve"> </w:t>
      </w:r>
      <w:r w:rsidRPr="00992E71">
        <w:rPr>
          <w:rFonts w:ascii="Open Sans" w:hAnsi="Open Sans" w:cs="Open Sans"/>
          <w:sz w:val="20"/>
          <w:szCs w:val="20"/>
        </w:rPr>
        <w:t xml:space="preserve">EUR). </w:t>
      </w:r>
      <w:r w:rsidR="0020275E" w:rsidRPr="00992E71">
        <w:rPr>
          <w:rFonts w:ascii="Open Sans" w:hAnsi="Open Sans" w:cs="Open Sans"/>
          <w:sz w:val="20"/>
          <w:szCs w:val="20"/>
        </w:rPr>
        <w:t xml:space="preserve">Med drugimi poslovnimi prihodki družba </w:t>
      </w:r>
      <w:r w:rsidR="007F051C">
        <w:rPr>
          <w:rFonts w:ascii="Open Sans" w:hAnsi="Open Sans" w:cs="Open Sans"/>
          <w:sz w:val="20"/>
          <w:szCs w:val="20"/>
        </w:rPr>
        <w:t xml:space="preserve">v pretežni meri </w:t>
      </w:r>
      <w:r w:rsidR="00BD6B88">
        <w:rPr>
          <w:rFonts w:ascii="Open Sans" w:hAnsi="Open Sans" w:cs="Open Sans"/>
          <w:sz w:val="20"/>
          <w:szCs w:val="20"/>
        </w:rPr>
        <w:t>izkazuje</w:t>
      </w:r>
      <w:r w:rsidR="0020275E" w:rsidRPr="00992E71">
        <w:rPr>
          <w:rFonts w:ascii="Open Sans" w:hAnsi="Open Sans" w:cs="Open Sans"/>
          <w:sz w:val="20"/>
          <w:szCs w:val="20"/>
        </w:rPr>
        <w:t xml:space="preserve"> dobičke pri prod</w:t>
      </w:r>
      <w:r w:rsidR="00BD6B88">
        <w:rPr>
          <w:rFonts w:ascii="Open Sans" w:hAnsi="Open Sans" w:cs="Open Sans"/>
          <w:sz w:val="20"/>
          <w:szCs w:val="20"/>
        </w:rPr>
        <w:t>aji</w:t>
      </w:r>
      <w:r w:rsidR="0020275E" w:rsidRPr="00992E71">
        <w:rPr>
          <w:rFonts w:ascii="Open Sans" w:hAnsi="Open Sans" w:cs="Open Sans"/>
          <w:sz w:val="20"/>
          <w:szCs w:val="20"/>
        </w:rPr>
        <w:t xml:space="preserve"> deleža poslovnih prostorov v Škofji Loki v višini</w:t>
      </w:r>
      <w:r w:rsidR="00D40413">
        <w:rPr>
          <w:rFonts w:ascii="Open Sans" w:hAnsi="Open Sans" w:cs="Open Sans"/>
          <w:sz w:val="20"/>
          <w:szCs w:val="20"/>
        </w:rPr>
        <w:t xml:space="preserve"> 932.743</w:t>
      </w:r>
      <w:r w:rsidR="000B1F7B">
        <w:rPr>
          <w:rFonts w:ascii="Open Sans" w:hAnsi="Open Sans" w:cs="Open Sans"/>
          <w:sz w:val="20"/>
          <w:szCs w:val="20"/>
        </w:rPr>
        <w:t xml:space="preserve"> EUR (1.1. – 30.6</w:t>
      </w:r>
      <w:r w:rsidR="00C55F40">
        <w:rPr>
          <w:rFonts w:ascii="Open Sans" w:hAnsi="Open Sans" w:cs="Open Sans"/>
          <w:sz w:val="20"/>
          <w:szCs w:val="20"/>
        </w:rPr>
        <w:t>.2019</w:t>
      </w:r>
      <w:r w:rsidR="00BD6B88">
        <w:rPr>
          <w:rFonts w:ascii="Open Sans" w:hAnsi="Open Sans" w:cs="Open Sans"/>
          <w:sz w:val="20"/>
          <w:szCs w:val="20"/>
        </w:rPr>
        <w:t>:</w:t>
      </w:r>
      <w:r w:rsidR="00BF3D62">
        <w:rPr>
          <w:rFonts w:ascii="Open Sans" w:hAnsi="Open Sans" w:cs="Open Sans"/>
          <w:sz w:val="20"/>
          <w:szCs w:val="20"/>
        </w:rPr>
        <w:t xml:space="preserve"> </w:t>
      </w:r>
      <w:r w:rsidR="000B1F7B">
        <w:rPr>
          <w:rFonts w:ascii="Open Sans" w:hAnsi="Open Sans" w:cs="Open Sans"/>
          <w:sz w:val="20"/>
          <w:szCs w:val="20"/>
        </w:rPr>
        <w:t>371.787</w:t>
      </w:r>
      <w:r w:rsidR="00445012">
        <w:rPr>
          <w:rFonts w:ascii="Open Sans" w:hAnsi="Open Sans" w:cs="Open Sans"/>
          <w:sz w:val="20"/>
          <w:szCs w:val="20"/>
        </w:rPr>
        <w:t xml:space="preserve"> EUR</w:t>
      </w:r>
      <w:r w:rsidR="007F051C">
        <w:rPr>
          <w:rFonts w:ascii="Open Sans" w:hAnsi="Open Sans" w:cs="Open Sans"/>
          <w:sz w:val="20"/>
          <w:szCs w:val="20"/>
        </w:rPr>
        <w:t xml:space="preserve">) in </w:t>
      </w:r>
      <w:r w:rsidR="000B1F7B">
        <w:rPr>
          <w:rFonts w:ascii="Open Sans" w:hAnsi="Open Sans" w:cs="Open Sans"/>
          <w:sz w:val="20"/>
          <w:szCs w:val="20"/>
        </w:rPr>
        <w:t>subvencij</w:t>
      </w:r>
      <w:r w:rsidR="005827CB">
        <w:rPr>
          <w:rFonts w:ascii="Open Sans" w:hAnsi="Open Sans" w:cs="Open Sans"/>
          <w:sz w:val="20"/>
          <w:szCs w:val="20"/>
        </w:rPr>
        <w:t>e</w:t>
      </w:r>
      <w:r w:rsidR="000B1F7B">
        <w:rPr>
          <w:rFonts w:ascii="Open Sans" w:hAnsi="Open Sans" w:cs="Open Sans"/>
          <w:sz w:val="20"/>
          <w:szCs w:val="20"/>
        </w:rPr>
        <w:t xml:space="preserve"> države </w:t>
      </w:r>
      <w:r w:rsidR="005827CB" w:rsidRPr="0037515D">
        <w:rPr>
          <w:rFonts w:ascii="Open Sans" w:hAnsi="Open Sans" w:cs="Open Sans"/>
          <w:sz w:val="20"/>
          <w:szCs w:val="20"/>
        </w:rPr>
        <w:t>iz naslova povračil stroškov</w:t>
      </w:r>
      <w:r w:rsidR="005827CB">
        <w:rPr>
          <w:rFonts w:ascii="Open Sans" w:hAnsi="Open Sans" w:cs="Open Sans"/>
          <w:sz w:val="20"/>
          <w:szCs w:val="20"/>
        </w:rPr>
        <w:t xml:space="preserve"> dela v času epidemije </w:t>
      </w:r>
      <w:proofErr w:type="spellStart"/>
      <w:r w:rsidR="005827CB">
        <w:rPr>
          <w:rFonts w:ascii="Open Sans" w:hAnsi="Open Sans" w:cs="Open Sans"/>
          <w:sz w:val="20"/>
          <w:szCs w:val="20"/>
        </w:rPr>
        <w:t>Covid</w:t>
      </w:r>
      <w:proofErr w:type="spellEnd"/>
      <w:r w:rsidR="005827CB">
        <w:rPr>
          <w:rFonts w:ascii="Open Sans" w:hAnsi="Open Sans" w:cs="Open Sans"/>
          <w:sz w:val="20"/>
          <w:szCs w:val="20"/>
        </w:rPr>
        <w:t xml:space="preserve"> 19 višini 190.024 EUR (1.1. – 30.6.2019: 0 EUR)</w:t>
      </w:r>
      <w:r w:rsidR="007F051C">
        <w:rPr>
          <w:rFonts w:ascii="Open Sans" w:hAnsi="Open Sans" w:cs="Open Sans"/>
          <w:sz w:val="20"/>
          <w:szCs w:val="20"/>
        </w:rPr>
        <w:t>.</w:t>
      </w:r>
      <w:r w:rsidR="005827CB">
        <w:rPr>
          <w:rFonts w:ascii="Open Sans" w:hAnsi="Open Sans" w:cs="Open Sans"/>
          <w:sz w:val="20"/>
          <w:szCs w:val="20"/>
        </w:rPr>
        <w:t xml:space="preserve"> </w:t>
      </w:r>
      <w:r w:rsidR="005827CB" w:rsidRPr="005827CB">
        <w:rPr>
          <w:rFonts w:ascii="Open Sans" w:hAnsi="Open Sans" w:cs="Open Sans"/>
          <w:sz w:val="20"/>
          <w:szCs w:val="20"/>
        </w:rPr>
        <w:t xml:space="preserve"> </w:t>
      </w:r>
      <w:r w:rsidR="005827CB">
        <w:rPr>
          <w:rFonts w:ascii="Open Sans" w:hAnsi="Open Sans" w:cs="Open Sans"/>
          <w:sz w:val="20"/>
          <w:szCs w:val="20"/>
        </w:rPr>
        <w:t xml:space="preserve">Ostali drugi poslovni prihodki izvirajo iz </w:t>
      </w:r>
      <w:r w:rsidR="003A0A45">
        <w:rPr>
          <w:rFonts w:ascii="Open Sans" w:hAnsi="Open Sans" w:cs="Open Sans"/>
          <w:sz w:val="20"/>
          <w:szCs w:val="20"/>
        </w:rPr>
        <w:t xml:space="preserve">prispevkov dobaviteljev, prejetih </w:t>
      </w:r>
      <w:r w:rsidR="00396FD6" w:rsidRPr="00992E71">
        <w:rPr>
          <w:rFonts w:ascii="Open Sans" w:hAnsi="Open Sans" w:cs="Open Sans"/>
          <w:sz w:val="20"/>
          <w:szCs w:val="20"/>
        </w:rPr>
        <w:t>subvencij in brezplačno pridobljenih osnovnih sredstev.</w:t>
      </w:r>
      <w:r w:rsidR="001F25AB">
        <w:rPr>
          <w:rFonts w:ascii="Open Sans" w:hAnsi="Open Sans" w:cs="Open Sans"/>
          <w:sz w:val="20"/>
          <w:szCs w:val="20"/>
        </w:rPr>
        <w:t xml:space="preserve"> </w:t>
      </w:r>
    </w:p>
    <w:p w14:paraId="72003805" w14:textId="75087D3B" w:rsidR="00877BA0" w:rsidRPr="00992E71" w:rsidRDefault="00877BA0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Stroški blaga, materiala in</w:t>
      </w:r>
      <w:r w:rsidR="001F25AB">
        <w:rPr>
          <w:rFonts w:ascii="Open Sans" w:hAnsi="Open Sans" w:cs="Open Sans"/>
          <w:sz w:val="20"/>
          <w:szCs w:val="20"/>
        </w:rPr>
        <w:t xml:space="preserve"> storitev v obdobju 1.1. do 30.6</w:t>
      </w:r>
      <w:r w:rsidR="00C55F40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 xml:space="preserve"> znašajo</w:t>
      </w:r>
      <w:r w:rsidRPr="00F625B4">
        <w:rPr>
          <w:rFonts w:ascii="Open Sans" w:hAnsi="Open Sans" w:cs="Open Sans"/>
          <w:sz w:val="20"/>
          <w:szCs w:val="20"/>
        </w:rPr>
        <w:t xml:space="preserve"> </w:t>
      </w:r>
      <w:r w:rsidR="009F5A65">
        <w:rPr>
          <w:rFonts w:ascii="Open Sans" w:hAnsi="Open Sans" w:cs="Open Sans"/>
          <w:sz w:val="20"/>
          <w:szCs w:val="20"/>
        </w:rPr>
        <w:t>2.393.044 EUR (1.1. do 30.6</w:t>
      </w:r>
      <w:r w:rsidR="00C55F40">
        <w:rPr>
          <w:rFonts w:ascii="Open Sans" w:hAnsi="Open Sans" w:cs="Open Sans"/>
          <w:sz w:val="20"/>
          <w:szCs w:val="20"/>
        </w:rPr>
        <w:t>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9F5A65">
        <w:rPr>
          <w:rFonts w:ascii="Open Sans" w:hAnsi="Open Sans" w:cs="Open Sans"/>
          <w:sz w:val="20"/>
          <w:szCs w:val="20"/>
        </w:rPr>
        <w:t>4.527.332</w:t>
      </w:r>
      <w:r w:rsidRPr="00992E71">
        <w:rPr>
          <w:rFonts w:ascii="Open Sans" w:hAnsi="Open Sans" w:cs="Open Sans"/>
          <w:sz w:val="20"/>
          <w:szCs w:val="20"/>
        </w:rPr>
        <w:t xml:space="preserve"> EUR).</w:t>
      </w:r>
      <w:r w:rsidR="003D1AD5" w:rsidRPr="00992E71">
        <w:rPr>
          <w:rFonts w:ascii="Open Sans" w:hAnsi="Open Sans" w:cs="Open Sans"/>
          <w:sz w:val="20"/>
          <w:szCs w:val="20"/>
        </w:rPr>
        <w:t xml:space="preserve"> Največji del postavke </w:t>
      </w:r>
      <w:r w:rsidR="001A683B" w:rsidRPr="00992E71">
        <w:rPr>
          <w:rFonts w:ascii="Open Sans" w:hAnsi="Open Sans" w:cs="Open Sans"/>
          <w:sz w:val="20"/>
          <w:szCs w:val="20"/>
        </w:rPr>
        <w:t xml:space="preserve">odpade na nabavno vrednost prodanega </w:t>
      </w:r>
      <w:r w:rsidR="009E0204">
        <w:rPr>
          <w:rFonts w:ascii="Open Sans" w:hAnsi="Open Sans" w:cs="Open Sans"/>
          <w:sz w:val="20"/>
          <w:szCs w:val="20"/>
        </w:rPr>
        <w:t xml:space="preserve">blaga in sicer je ta v </w:t>
      </w:r>
      <w:r w:rsidR="003C7769">
        <w:rPr>
          <w:rFonts w:ascii="Open Sans" w:hAnsi="Open Sans" w:cs="Open Sans"/>
          <w:sz w:val="20"/>
          <w:szCs w:val="20"/>
        </w:rPr>
        <w:t>prvem polletju</w:t>
      </w:r>
      <w:r w:rsidR="00507406">
        <w:rPr>
          <w:rFonts w:ascii="Open Sans" w:hAnsi="Open Sans" w:cs="Open Sans"/>
          <w:sz w:val="20"/>
          <w:szCs w:val="20"/>
        </w:rPr>
        <w:t xml:space="preserve"> leta 2020</w:t>
      </w:r>
      <w:r w:rsidR="001A683B" w:rsidRPr="00992E71">
        <w:rPr>
          <w:rFonts w:ascii="Open Sans" w:hAnsi="Open Sans" w:cs="Open Sans"/>
          <w:sz w:val="20"/>
          <w:szCs w:val="20"/>
        </w:rPr>
        <w:t xml:space="preserve"> znašala </w:t>
      </w:r>
      <w:r w:rsidR="003C7769">
        <w:rPr>
          <w:rFonts w:ascii="Open Sans" w:hAnsi="Open Sans" w:cs="Open Sans"/>
          <w:sz w:val="20"/>
          <w:szCs w:val="20"/>
        </w:rPr>
        <w:t>1.683.469 EUR (1.1. do 30.6</w:t>
      </w:r>
      <w:r w:rsidR="00507406">
        <w:rPr>
          <w:rFonts w:ascii="Open Sans" w:hAnsi="Open Sans" w:cs="Open Sans"/>
          <w:sz w:val="20"/>
          <w:szCs w:val="20"/>
        </w:rPr>
        <w:t>.2019</w:t>
      </w:r>
      <w:r w:rsidR="001A683B" w:rsidRPr="00992E71">
        <w:rPr>
          <w:rFonts w:ascii="Open Sans" w:hAnsi="Open Sans" w:cs="Open Sans"/>
          <w:sz w:val="20"/>
          <w:szCs w:val="20"/>
        </w:rPr>
        <w:t xml:space="preserve">: </w:t>
      </w:r>
      <w:r w:rsidR="003C7769">
        <w:rPr>
          <w:rFonts w:ascii="Open Sans" w:hAnsi="Open Sans" w:cs="Open Sans"/>
          <w:sz w:val="20"/>
          <w:szCs w:val="20"/>
        </w:rPr>
        <w:t>3.516.857</w:t>
      </w:r>
      <w:r w:rsidR="00451627" w:rsidRPr="00992E71">
        <w:rPr>
          <w:rFonts w:ascii="Open Sans" w:hAnsi="Open Sans" w:cs="Open Sans"/>
          <w:sz w:val="20"/>
          <w:szCs w:val="20"/>
        </w:rPr>
        <w:t xml:space="preserve"> EUR)</w:t>
      </w:r>
      <w:r w:rsidR="001A683B" w:rsidRPr="00992E71">
        <w:rPr>
          <w:rFonts w:ascii="Open Sans" w:hAnsi="Open Sans" w:cs="Open Sans"/>
          <w:sz w:val="20"/>
          <w:szCs w:val="20"/>
        </w:rPr>
        <w:t>.</w:t>
      </w:r>
      <w:r w:rsidR="0080068F" w:rsidRPr="00992E71">
        <w:rPr>
          <w:rFonts w:ascii="Open Sans" w:hAnsi="Open Sans" w:cs="Open Sans"/>
          <w:sz w:val="20"/>
          <w:szCs w:val="20"/>
        </w:rPr>
        <w:t xml:space="preserve"> </w:t>
      </w:r>
      <w:r w:rsidR="00404495">
        <w:rPr>
          <w:rFonts w:ascii="Open Sans" w:hAnsi="Open Sans" w:cs="Open Sans"/>
          <w:sz w:val="20"/>
          <w:szCs w:val="20"/>
        </w:rPr>
        <w:t>Večja postavka</w:t>
      </w:r>
      <w:r w:rsidR="00FE6F69" w:rsidRPr="00992E71">
        <w:rPr>
          <w:rFonts w:ascii="Open Sans" w:hAnsi="Open Sans" w:cs="Open Sans"/>
          <w:sz w:val="20"/>
          <w:szCs w:val="20"/>
        </w:rPr>
        <w:t xml:space="preserve"> stroškov so še stroški materiala in energije </w:t>
      </w:r>
      <w:r w:rsidR="003C7769">
        <w:rPr>
          <w:rFonts w:ascii="Open Sans" w:hAnsi="Open Sans" w:cs="Open Sans"/>
          <w:sz w:val="20"/>
          <w:szCs w:val="20"/>
        </w:rPr>
        <w:t>(1.1. do 30.6</w:t>
      </w:r>
      <w:r w:rsidR="00507406">
        <w:rPr>
          <w:rFonts w:ascii="Open Sans" w:hAnsi="Open Sans" w:cs="Open Sans"/>
          <w:sz w:val="20"/>
          <w:szCs w:val="20"/>
        </w:rPr>
        <w:t>.2020</w:t>
      </w:r>
      <w:r w:rsidR="00AD2823" w:rsidRPr="00992E71">
        <w:rPr>
          <w:rFonts w:ascii="Open Sans" w:hAnsi="Open Sans" w:cs="Open Sans"/>
          <w:sz w:val="20"/>
          <w:szCs w:val="20"/>
        </w:rPr>
        <w:t>:</w:t>
      </w:r>
      <w:r w:rsidR="00AD2823" w:rsidRPr="0000317F">
        <w:rPr>
          <w:rFonts w:ascii="Open Sans" w:hAnsi="Open Sans" w:cs="Open Sans"/>
          <w:sz w:val="20"/>
          <w:szCs w:val="20"/>
        </w:rPr>
        <w:t xml:space="preserve"> </w:t>
      </w:r>
      <w:r w:rsidR="006A0154">
        <w:rPr>
          <w:rFonts w:ascii="Open Sans" w:hAnsi="Open Sans" w:cs="Open Sans"/>
          <w:sz w:val="20"/>
          <w:szCs w:val="20"/>
        </w:rPr>
        <w:t>170.390</w:t>
      </w:r>
      <w:r w:rsidR="00AD2823" w:rsidRPr="00992E71">
        <w:rPr>
          <w:rFonts w:ascii="Open Sans" w:hAnsi="Open Sans" w:cs="Open Sans"/>
          <w:sz w:val="20"/>
          <w:szCs w:val="20"/>
        </w:rPr>
        <w:t xml:space="preserve"> EUR;</w:t>
      </w:r>
      <w:r w:rsidR="006A0154">
        <w:rPr>
          <w:rFonts w:ascii="Open Sans" w:hAnsi="Open Sans" w:cs="Open Sans"/>
          <w:sz w:val="20"/>
          <w:szCs w:val="20"/>
        </w:rPr>
        <w:t xml:space="preserve"> 1.1. do 30.6</w:t>
      </w:r>
      <w:r w:rsidR="00507406">
        <w:rPr>
          <w:rFonts w:ascii="Open Sans" w:hAnsi="Open Sans" w:cs="Open Sans"/>
          <w:sz w:val="20"/>
          <w:szCs w:val="20"/>
        </w:rPr>
        <w:t>.2019</w:t>
      </w:r>
      <w:r w:rsidR="00FE6F69" w:rsidRPr="00992E71">
        <w:rPr>
          <w:rFonts w:ascii="Open Sans" w:hAnsi="Open Sans" w:cs="Open Sans"/>
          <w:sz w:val="20"/>
          <w:szCs w:val="20"/>
        </w:rPr>
        <w:t xml:space="preserve">: </w:t>
      </w:r>
      <w:r w:rsidR="006A0154">
        <w:rPr>
          <w:rFonts w:ascii="Open Sans" w:hAnsi="Open Sans" w:cs="Open Sans"/>
          <w:sz w:val="20"/>
          <w:szCs w:val="20"/>
        </w:rPr>
        <w:t>283.409</w:t>
      </w:r>
      <w:r w:rsidR="00AF0835" w:rsidRPr="00992E71">
        <w:rPr>
          <w:rFonts w:ascii="Open Sans" w:hAnsi="Open Sans" w:cs="Open Sans"/>
          <w:sz w:val="20"/>
          <w:szCs w:val="20"/>
        </w:rPr>
        <w:t xml:space="preserve"> </w:t>
      </w:r>
      <w:r w:rsidR="00D1204E" w:rsidRPr="00992E71">
        <w:rPr>
          <w:rFonts w:ascii="Open Sans" w:hAnsi="Open Sans" w:cs="Open Sans"/>
          <w:sz w:val="20"/>
          <w:szCs w:val="20"/>
        </w:rPr>
        <w:t xml:space="preserve"> EUR</w:t>
      </w:r>
      <w:r w:rsidR="00FE6F69" w:rsidRPr="00992E71">
        <w:rPr>
          <w:rFonts w:ascii="Open Sans" w:hAnsi="Open Sans" w:cs="Open Sans"/>
          <w:sz w:val="20"/>
          <w:szCs w:val="20"/>
        </w:rPr>
        <w:t>)</w:t>
      </w:r>
      <w:r w:rsidR="00404495">
        <w:rPr>
          <w:rFonts w:ascii="Open Sans" w:hAnsi="Open Sans" w:cs="Open Sans"/>
          <w:sz w:val="20"/>
          <w:szCs w:val="20"/>
        </w:rPr>
        <w:t>.</w:t>
      </w:r>
      <w:r w:rsidR="005B4B49" w:rsidRPr="00C22A44">
        <w:rPr>
          <w:rFonts w:ascii="Open Sans" w:hAnsi="Open Sans" w:cs="Open Sans"/>
          <w:color w:val="FF0000"/>
          <w:sz w:val="20"/>
          <w:szCs w:val="20"/>
        </w:rPr>
        <w:t xml:space="preserve"> </w:t>
      </w:r>
    </w:p>
    <w:p w14:paraId="0D720391" w14:textId="7A82F41E" w:rsidR="00277DBF" w:rsidRPr="00992E71" w:rsidRDefault="00284CAF" w:rsidP="00A37D3A">
      <w:pPr>
        <w:jc w:val="both"/>
        <w:rPr>
          <w:rFonts w:ascii="Open Sans" w:hAnsi="Open Sans" w:cs="Open Sans"/>
          <w:sz w:val="20"/>
          <w:szCs w:val="20"/>
        </w:rPr>
      </w:pPr>
      <w:r w:rsidRPr="009B1A75">
        <w:rPr>
          <w:rFonts w:ascii="Open Sans" w:hAnsi="Open Sans" w:cs="Open Sans"/>
          <w:sz w:val="20"/>
          <w:szCs w:val="20"/>
        </w:rPr>
        <w:t>Stroški dela</w:t>
      </w:r>
      <w:r w:rsidRPr="00992E71">
        <w:rPr>
          <w:rFonts w:ascii="Open Sans" w:hAnsi="Open Sans" w:cs="Open Sans"/>
          <w:sz w:val="20"/>
          <w:szCs w:val="20"/>
        </w:rPr>
        <w:t xml:space="preserve"> so v </w:t>
      </w:r>
      <w:r w:rsidR="00A36EA5">
        <w:rPr>
          <w:rFonts w:ascii="Open Sans" w:hAnsi="Open Sans" w:cs="Open Sans"/>
          <w:sz w:val="20"/>
          <w:szCs w:val="20"/>
        </w:rPr>
        <w:t>obdobju 1.1. do 30.6</w:t>
      </w:r>
      <w:r w:rsidR="006C1206">
        <w:rPr>
          <w:rFonts w:ascii="Open Sans" w:hAnsi="Open Sans" w:cs="Open Sans"/>
          <w:sz w:val="20"/>
          <w:szCs w:val="20"/>
        </w:rPr>
        <w:t>.</w:t>
      </w:r>
      <w:r w:rsidR="00BD553E">
        <w:rPr>
          <w:rFonts w:ascii="Open Sans" w:hAnsi="Open Sans" w:cs="Open Sans"/>
          <w:sz w:val="20"/>
          <w:szCs w:val="20"/>
        </w:rPr>
        <w:t>2020</w:t>
      </w:r>
      <w:r w:rsidRPr="00992E71">
        <w:rPr>
          <w:rFonts w:ascii="Open Sans" w:hAnsi="Open Sans" w:cs="Open Sans"/>
          <w:sz w:val="20"/>
          <w:szCs w:val="20"/>
        </w:rPr>
        <w:t xml:space="preserve"> znašali </w:t>
      </w:r>
      <w:r w:rsidR="00A36EA5">
        <w:rPr>
          <w:rFonts w:ascii="Open Sans" w:hAnsi="Open Sans" w:cs="Open Sans"/>
          <w:sz w:val="20"/>
          <w:szCs w:val="20"/>
        </w:rPr>
        <w:t>1.271.177 EUR (1.1. do 30.6</w:t>
      </w:r>
      <w:r w:rsidR="00BD553E">
        <w:rPr>
          <w:rFonts w:ascii="Open Sans" w:hAnsi="Open Sans" w:cs="Open Sans"/>
          <w:sz w:val="20"/>
          <w:szCs w:val="20"/>
        </w:rPr>
        <w:t>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A36EA5">
        <w:rPr>
          <w:rFonts w:ascii="Open Sans" w:hAnsi="Open Sans" w:cs="Open Sans"/>
          <w:sz w:val="20"/>
          <w:szCs w:val="20"/>
        </w:rPr>
        <w:t>1.546.282</w:t>
      </w:r>
      <w:r w:rsidRPr="00992E71">
        <w:rPr>
          <w:rFonts w:ascii="Open Sans" w:hAnsi="Open Sans" w:cs="Open Sans"/>
          <w:sz w:val="20"/>
          <w:szCs w:val="20"/>
        </w:rPr>
        <w:t xml:space="preserve"> EUR)</w:t>
      </w:r>
      <w:r w:rsidR="00E028E2"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69FF8CF1" w14:textId="235DAC3E" w:rsidR="007806B5" w:rsidRDefault="007806B5" w:rsidP="00A37D3A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Odpisi vred</w:t>
      </w:r>
      <w:r w:rsidR="007D7AAE">
        <w:rPr>
          <w:rFonts w:ascii="Open Sans" w:hAnsi="Open Sans" w:cs="Open Sans"/>
          <w:sz w:val="20"/>
          <w:szCs w:val="20"/>
        </w:rPr>
        <w:t xml:space="preserve">nosti, ki v </w:t>
      </w:r>
      <w:r w:rsidR="00A36EA5">
        <w:rPr>
          <w:rFonts w:ascii="Open Sans" w:hAnsi="Open Sans" w:cs="Open Sans"/>
          <w:sz w:val="20"/>
          <w:szCs w:val="20"/>
        </w:rPr>
        <w:t>prvem polletju</w:t>
      </w:r>
      <w:r w:rsidR="000D6FAE">
        <w:rPr>
          <w:rFonts w:ascii="Open Sans" w:hAnsi="Open Sans" w:cs="Open Sans"/>
          <w:sz w:val="20"/>
          <w:szCs w:val="20"/>
        </w:rPr>
        <w:t xml:space="preserve"> leta </w:t>
      </w:r>
      <w:r w:rsidR="007D7AAE">
        <w:rPr>
          <w:rFonts w:ascii="Open Sans" w:hAnsi="Open Sans" w:cs="Open Sans"/>
          <w:sz w:val="20"/>
          <w:szCs w:val="20"/>
        </w:rPr>
        <w:t>2020</w:t>
      </w:r>
      <w:r w:rsidRPr="00992E71">
        <w:rPr>
          <w:rFonts w:ascii="Open Sans" w:hAnsi="Open Sans" w:cs="Open Sans"/>
          <w:sz w:val="20"/>
          <w:szCs w:val="20"/>
        </w:rPr>
        <w:t xml:space="preserve"> znašaj</w:t>
      </w:r>
      <w:r w:rsidRPr="00021A9C">
        <w:rPr>
          <w:rFonts w:ascii="Open Sans" w:hAnsi="Open Sans" w:cs="Open Sans"/>
          <w:sz w:val="20"/>
          <w:szCs w:val="20"/>
        </w:rPr>
        <w:t xml:space="preserve">o </w:t>
      </w:r>
      <w:r w:rsidR="00A36EA5">
        <w:rPr>
          <w:rFonts w:ascii="Open Sans" w:hAnsi="Open Sans" w:cs="Open Sans"/>
          <w:sz w:val="20"/>
          <w:szCs w:val="20"/>
        </w:rPr>
        <w:t>620.902 EUR (1.1. do 30.6</w:t>
      </w:r>
      <w:r w:rsidR="007D7AAE">
        <w:rPr>
          <w:rFonts w:ascii="Open Sans" w:hAnsi="Open Sans" w:cs="Open Sans"/>
          <w:sz w:val="20"/>
          <w:szCs w:val="20"/>
        </w:rPr>
        <w:t>.2019</w:t>
      </w:r>
      <w:r w:rsidRPr="00992E71">
        <w:rPr>
          <w:rFonts w:ascii="Open Sans" w:hAnsi="Open Sans" w:cs="Open Sans"/>
          <w:sz w:val="20"/>
          <w:szCs w:val="20"/>
        </w:rPr>
        <w:t xml:space="preserve">: </w:t>
      </w:r>
      <w:r w:rsidR="00A36EA5">
        <w:rPr>
          <w:rFonts w:ascii="Open Sans" w:hAnsi="Open Sans" w:cs="Open Sans"/>
          <w:sz w:val="20"/>
          <w:szCs w:val="20"/>
        </w:rPr>
        <w:t>600.702</w:t>
      </w:r>
      <w:r w:rsidR="009B1A75">
        <w:rPr>
          <w:rFonts w:ascii="Open Sans" w:hAnsi="Open Sans" w:cs="Open Sans"/>
          <w:sz w:val="20"/>
          <w:szCs w:val="20"/>
        </w:rPr>
        <w:t xml:space="preserve"> EUR), se </w:t>
      </w:r>
      <w:r w:rsidRPr="00992E71">
        <w:rPr>
          <w:rFonts w:ascii="Open Sans" w:hAnsi="Open Sans" w:cs="Open Sans"/>
          <w:sz w:val="20"/>
          <w:szCs w:val="20"/>
        </w:rPr>
        <w:t xml:space="preserve">v </w:t>
      </w:r>
      <w:r w:rsidR="001F417F">
        <w:rPr>
          <w:rFonts w:ascii="Open Sans" w:hAnsi="Open Sans" w:cs="Open Sans"/>
          <w:sz w:val="20"/>
          <w:szCs w:val="20"/>
        </w:rPr>
        <w:t>pretežni meri</w:t>
      </w:r>
      <w:r w:rsidRPr="00992E71">
        <w:rPr>
          <w:rFonts w:ascii="Open Sans" w:hAnsi="Open Sans" w:cs="Open Sans"/>
          <w:sz w:val="20"/>
          <w:szCs w:val="20"/>
        </w:rPr>
        <w:t xml:space="preserve"> nanašajo na amortizacijo neopredmetenih sredstev, op</w:t>
      </w:r>
      <w:r w:rsidR="00567006">
        <w:rPr>
          <w:rFonts w:ascii="Open Sans" w:hAnsi="Open Sans" w:cs="Open Sans"/>
          <w:sz w:val="20"/>
          <w:szCs w:val="20"/>
        </w:rPr>
        <w:t xml:space="preserve">redmetenih osnovnih sredstev, </w:t>
      </w:r>
      <w:r w:rsidRPr="00992E71">
        <w:rPr>
          <w:rFonts w:ascii="Open Sans" w:hAnsi="Open Sans" w:cs="Open Sans"/>
          <w:sz w:val="20"/>
          <w:szCs w:val="20"/>
        </w:rPr>
        <w:t>naložbenih nepremičnin</w:t>
      </w:r>
      <w:r w:rsidR="00567006">
        <w:rPr>
          <w:rFonts w:ascii="Open Sans" w:hAnsi="Open Sans" w:cs="Open Sans"/>
          <w:sz w:val="20"/>
          <w:szCs w:val="20"/>
        </w:rPr>
        <w:t xml:space="preserve"> in pravic do uporabe najetih nepremičnin</w:t>
      </w:r>
      <w:r w:rsidRPr="00992E71">
        <w:rPr>
          <w:rFonts w:ascii="Open Sans" w:hAnsi="Open Sans" w:cs="Open Sans"/>
          <w:sz w:val="20"/>
          <w:szCs w:val="20"/>
        </w:rPr>
        <w:t xml:space="preserve">. </w:t>
      </w:r>
    </w:p>
    <w:p w14:paraId="0E54DB76" w14:textId="77777777" w:rsidR="004F0982" w:rsidRPr="00992E71" w:rsidRDefault="004F0982" w:rsidP="00A37D3A">
      <w:pPr>
        <w:jc w:val="both"/>
        <w:rPr>
          <w:rFonts w:ascii="Open Sans" w:hAnsi="Open Sans" w:cs="Open Sans"/>
          <w:sz w:val="20"/>
          <w:szCs w:val="20"/>
        </w:rPr>
      </w:pPr>
    </w:p>
    <w:p w14:paraId="0BCEED65" w14:textId="77777777" w:rsidR="00831322" w:rsidRPr="00992E71" w:rsidRDefault="00831322" w:rsidP="00831322">
      <w:pPr>
        <w:pStyle w:val="Odstavekseznama"/>
        <w:numPr>
          <w:ilvl w:val="1"/>
          <w:numId w:val="12"/>
        </w:numPr>
        <w:ind w:left="431" w:hanging="431"/>
        <w:jc w:val="both"/>
        <w:rPr>
          <w:rFonts w:ascii="Open Sans" w:hAnsi="Open Sans" w:cs="Open Sans"/>
          <w:b/>
          <w:sz w:val="20"/>
          <w:szCs w:val="20"/>
        </w:rPr>
      </w:pPr>
      <w:r w:rsidRPr="00992E71">
        <w:rPr>
          <w:rFonts w:ascii="Open Sans" w:hAnsi="Open Sans" w:cs="Open Sans"/>
          <w:b/>
          <w:sz w:val="20"/>
          <w:szCs w:val="20"/>
        </w:rPr>
        <w:t>Pomembnejši poslovni dogodki po presečnem datumu</w:t>
      </w:r>
    </w:p>
    <w:p w14:paraId="3628E549" w14:textId="57BFA450" w:rsidR="00C42AC1" w:rsidRDefault="00831322" w:rsidP="00C42AC1">
      <w:pPr>
        <w:jc w:val="both"/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>V času po presečnem datumu in do datuma objave tega poročila ni prišlo do dogodkov, ki bi pomembno vplivali na računovodske izk</w:t>
      </w:r>
      <w:r w:rsidR="001E7588">
        <w:rPr>
          <w:rFonts w:ascii="Open Sans" w:hAnsi="Open Sans" w:cs="Open Sans"/>
          <w:sz w:val="20"/>
          <w:szCs w:val="20"/>
        </w:rPr>
        <w:t>aze družbe po s</w:t>
      </w:r>
      <w:r w:rsidR="001F417F">
        <w:rPr>
          <w:rFonts w:ascii="Open Sans" w:hAnsi="Open Sans" w:cs="Open Sans"/>
          <w:sz w:val="20"/>
          <w:szCs w:val="20"/>
        </w:rPr>
        <w:t>tanju na dan 30.6</w:t>
      </w:r>
      <w:r w:rsidRPr="00992E71">
        <w:rPr>
          <w:rFonts w:ascii="Open Sans" w:hAnsi="Open Sans" w:cs="Open Sans"/>
          <w:sz w:val="20"/>
          <w:szCs w:val="20"/>
        </w:rPr>
        <w:t>.</w:t>
      </w:r>
      <w:r w:rsidR="001F417F">
        <w:rPr>
          <w:rFonts w:ascii="Open Sans" w:hAnsi="Open Sans" w:cs="Open Sans"/>
          <w:sz w:val="20"/>
          <w:szCs w:val="20"/>
        </w:rPr>
        <w:t>2020 oz. za obdobje 1.1. do 30.6</w:t>
      </w:r>
      <w:r w:rsidR="007D7AAE">
        <w:rPr>
          <w:rFonts w:ascii="Open Sans" w:hAnsi="Open Sans" w:cs="Open Sans"/>
          <w:sz w:val="20"/>
          <w:szCs w:val="20"/>
        </w:rPr>
        <w:t>.2020</w:t>
      </w:r>
      <w:r w:rsidRPr="00992E71">
        <w:rPr>
          <w:rFonts w:ascii="Open Sans" w:hAnsi="Open Sans" w:cs="Open Sans"/>
          <w:sz w:val="20"/>
          <w:szCs w:val="20"/>
        </w:rPr>
        <w:t>.</w:t>
      </w:r>
    </w:p>
    <w:p w14:paraId="3AA384D2" w14:textId="77777777" w:rsidR="00C42AC1" w:rsidRDefault="00C42AC1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627AB007" w14:textId="77777777" w:rsidR="00C42AC1" w:rsidRPr="004F0982" w:rsidRDefault="00C42AC1" w:rsidP="00C42AC1">
      <w:pPr>
        <w:jc w:val="both"/>
        <w:rPr>
          <w:rFonts w:ascii="Open Sans" w:hAnsi="Open Sans" w:cs="Open Sans"/>
          <w:sz w:val="20"/>
          <w:szCs w:val="20"/>
        </w:rPr>
      </w:pPr>
    </w:p>
    <w:p w14:paraId="6164EFD9" w14:textId="2B8FBD55" w:rsidR="00BB19A1" w:rsidRPr="0067508B" w:rsidRDefault="00BB19A1" w:rsidP="00BB19A1">
      <w:pPr>
        <w:pStyle w:val="Odstavekseznama"/>
        <w:numPr>
          <w:ilvl w:val="0"/>
          <w:numId w:val="12"/>
        </w:numPr>
        <w:jc w:val="both"/>
        <w:rPr>
          <w:rFonts w:ascii="Open Sans" w:hAnsi="Open Sans" w:cs="Open Sans"/>
          <w:b/>
          <w:sz w:val="24"/>
          <w:szCs w:val="24"/>
        </w:rPr>
      </w:pPr>
      <w:r w:rsidRPr="0067508B">
        <w:rPr>
          <w:rFonts w:ascii="Open Sans" w:hAnsi="Open Sans" w:cs="Open Sans"/>
          <w:b/>
          <w:sz w:val="24"/>
          <w:szCs w:val="24"/>
        </w:rPr>
        <w:t>IZJAVA O ODGOVORNOSTI UPRAVE</w:t>
      </w:r>
    </w:p>
    <w:p w14:paraId="36E9BFCD" w14:textId="47915CFC" w:rsidR="001B2EC4" w:rsidRPr="00992E71" w:rsidRDefault="00BB19A1">
      <w:pPr>
        <w:rPr>
          <w:rFonts w:ascii="Open Sans" w:hAnsi="Open Sans" w:cs="Open Sans"/>
          <w:sz w:val="20"/>
          <w:szCs w:val="20"/>
        </w:rPr>
      </w:pPr>
      <w:r w:rsidRPr="00992E71">
        <w:rPr>
          <w:rFonts w:ascii="Open Sans" w:hAnsi="Open Sans" w:cs="Open Sans"/>
          <w:sz w:val="20"/>
          <w:szCs w:val="20"/>
        </w:rPr>
        <w:t xml:space="preserve">   </w:t>
      </w:r>
      <w:r w:rsidR="00A85BA5">
        <w:rPr>
          <w:rFonts w:ascii="Open Sans" w:hAnsi="Open Sans" w:cs="Open Sans"/>
          <w:noProof/>
          <w:sz w:val="20"/>
          <w:szCs w:val="20"/>
          <w:lang w:eastAsia="sl-SI"/>
        </w:rPr>
        <w:drawing>
          <wp:inline distT="0" distB="0" distL="0" distR="0" wp14:anchorId="6C8250D6" wp14:editId="5FBF439A">
            <wp:extent cx="5215890" cy="7847965"/>
            <wp:effectExtent l="0" t="0" r="381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784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EC4" w:rsidRPr="00992E71" w:rsidSect="00992F38">
      <w:footerReference w:type="default" r:id="rId12"/>
      <w:pgSz w:w="11906" w:h="16838"/>
      <w:pgMar w:top="1276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3DA3C" w14:textId="77777777" w:rsidR="00561357" w:rsidRDefault="00561357" w:rsidP="00FC4DF2">
      <w:pPr>
        <w:spacing w:after="0" w:line="240" w:lineRule="auto"/>
      </w:pPr>
      <w:r>
        <w:separator/>
      </w:r>
    </w:p>
  </w:endnote>
  <w:endnote w:type="continuationSeparator" w:id="0">
    <w:p w14:paraId="621BFD29" w14:textId="77777777" w:rsidR="00561357" w:rsidRDefault="00561357" w:rsidP="00FC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8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506083"/>
      <w:docPartObj>
        <w:docPartGallery w:val="Page Numbers (Bottom of Page)"/>
        <w:docPartUnique/>
      </w:docPartObj>
    </w:sdtPr>
    <w:sdtEndPr/>
    <w:sdtContent>
      <w:p w14:paraId="502FB1B2" w14:textId="0FF4D3BF" w:rsidR="00B424AA" w:rsidRDefault="00B424A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4AB">
          <w:rPr>
            <w:noProof/>
          </w:rPr>
          <w:t>14</w:t>
        </w:r>
        <w:r>
          <w:fldChar w:fldCharType="end"/>
        </w:r>
      </w:p>
    </w:sdtContent>
  </w:sdt>
  <w:p w14:paraId="725F4626" w14:textId="77777777" w:rsidR="00B424AA" w:rsidRDefault="00B424A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213FD" w14:textId="77777777" w:rsidR="00561357" w:rsidRDefault="00561357" w:rsidP="00FC4DF2">
      <w:pPr>
        <w:spacing w:after="0" w:line="240" w:lineRule="auto"/>
      </w:pPr>
      <w:r>
        <w:separator/>
      </w:r>
    </w:p>
  </w:footnote>
  <w:footnote w:type="continuationSeparator" w:id="0">
    <w:p w14:paraId="4E4CA82A" w14:textId="77777777" w:rsidR="00561357" w:rsidRDefault="00561357" w:rsidP="00FC4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60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9181C"/>
    <w:multiLevelType w:val="hybridMultilevel"/>
    <w:tmpl w:val="9D229648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3A94D30A">
      <w:start w:val="1"/>
      <w:numFmt w:val="lowerLetter"/>
      <w:lvlText w:val="%2."/>
      <w:lvlJc w:val="left"/>
      <w:pPr>
        <w:ind w:left="1700" w:hanging="284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28E17F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E075A9"/>
    <w:multiLevelType w:val="hybridMultilevel"/>
    <w:tmpl w:val="39A83CE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0E48F5"/>
    <w:multiLevelType w:val="hybridMultilevel"/>
    <w:tmpl w:val="343E8F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731"/>
    <w:multiLevelType w:val="hybridMultilevel"/>
    <w:tmpl w:val="424E1BB8"/>
    <w:lvl w:ilvl="0" w:tplc="140EA422">
      <w:start w:val="9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26E3"/>
    <w:multiLevelType w:val="hybridMultilevel"/>
    <w:tmpl w:val="C7C096EA"/>
    <w:lvl w:ilvl="0" w:tplc="4C04A36A">
      <w:start w:val="1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15C58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1D3582"/>
    <w:multiLevelType w:val="hybridMultilevel"/>
    <w:tmpl w:val="B1F0EDB8"/>
    <w:lvl w:ilvl="0" w:tplc="7E502938">
      <w:start w:val="3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C2EB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065DF"/>
    <w:multiLevelType w:val="hybridMultilevel"/>
    <w:tmpl w:val="5CB4CC2A"/>
    <w:lvl w:ilvl="0" w:tplc="1B3C2644">
      <w:start w:val="9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549A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357D78"/>
    <w:multiLevelType w:val="hybridMultilevel"/>
    <w:tmpl w:val="02C21362"/>
    <w:lvl w:ilvl="0" w:tplc="2CCABD8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49DE"/>
    <w:multiLevelType w:val="multilevel"/>
    <w:tmpl w:val="FB904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F0E055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4"/>
  </w:num>
  <w:num w:numId="5">
    <w:abstractNumId w:val="2"/>
  </w:num>
  <w:num w:numId="6">
    <w:abstractNumId w:val="11"/>
  </w:num>
  <w:num w:numId="7">
    <w:abstractNumId w:val="0"/>
  </w:num>
  <w:num w:numId="8">
    <w:abstractNumId w:val="4"/>
  </w:num>
  <w:num w:numId="9">
    <w:abstractNumId w:val="3"/>
  </w:num>
  <w:num w:numId="10">
    <w:abstractNumId w:val="13"/>
  </w:num>
  <w:num w:numId="11">
    <w:abstractNumId w:val="9"/>
  </w:num>
  <w:num w:numId="12">
    <w:abstractNumId w:val="7"/>
  </w:num>
  <w:num w:numId="13">
    <w:abstractNumId w:val="8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22"/>
    <w:rsid w:val="000003BE"/>
    <w:rsid w:val="00000973"/>
    <w:rsid w:val="000013EE"/>
    <w:rsid w:val="00001BB6"/>
    <w:rsid w:val="0000317F"/>
    <w:rsid w:val="0000338C"/>
    <w:rsid w:val="000038D2"/>
    <w:rsid w:val="00005734"/>
    <w:rsid w:val="00007141"/>
    <w:rsid w:val="00007520"/>
    <w:rsid w:val="0001047E"/>
    <w:rsid w:val="00010632"/>
    <w:rsid w:val="000109E6"/>
    <w:rsid w:val="000112F3"/>
    <w:rsid w:val="00013663"/>
    <w:rsid w:val="00015D20"/>
    <w:rsid w:val="0001621B"/>
    <w:rsid w:val="00016733"/>
    <w:rsid w:val="00016A18"/>
    <w:rsid w:val="00016ECF"/>
    <w:rsid w:val="0001713F"/>
    <w:rsid w:val="00020C24"/>
    <w:rsid w:val="000213D7"/>
    <w:rsid w:val="0002170F"/>
    <w:rsid w:val="00021A9C"/>
    <w:rsid w:val="00024262"/>
    <w:rsid w:val="000254BC"/>
    <w:rsid w:val="00026EB9"/>
    <w:rsid w:val="000301BE"/>
    <w:rsid w:val="00030B49"/>
    <w:rsid w:val="000313B1"/>
    <w:rsid w:val="00031BD8"/>
    <w:rsid w:val="00031F3B"/>
    <w:rsid w:val="000344A8"/>
    <w:rsid w:val="00034A61"/>
    <w:rsid w:val="00034EB8"/>
    <w:rsid w:val="00035A0F"/>
    <w:rsid w:val="000363B2"/>
    <w:rsid w:val="000365F1"/>
    <w:rsid w:val="00036D74"/>
    <w:rsid w:val="00040332"/>
    <w:rsid w:val="00041127"/>
    <w:rsid w:val="000434F1"/>
    <w:rsid w:val="00044201"/>
    <w:rsid w:val="00045166"/>
    <w:rsid w:val="00046DA4"/>
    <w:rsid w:val="000502F0"/>
    <w:rsid w:val="000507C4"/>
    <w:rsid w:val="00050C37"/>
    <w:rsid w:val="00050E4D"/>
    <w:rsid w:val="00051A8F"/>
    <w:rsid w:val="00051FA1"/>
    <w:rsid w:val="000521A5"/>
    <w:rsid w:val="000523BA"/>
    <w:rsid w:val="000528B2"/>
    <w:rsid w:val="00055128"/>
    <w:rsid w:val="000561D6"/>
    <w:rsid w:val="000579EB"/>
    <w:rsid w:val="0006356E"/>
    <w:rsid w:val="000640E5"/>
    <w:rsid w:val="00064BC2"/>
    <w:rsid w:val="00066017"/>
    <w:rsid w:val="0006692A"/>
    <w:rsid w:val="00066CBA"/>
    <w:rsid w:val="000671A6"/>
    <w:rsid w:val="00067D94"/>
    <w:rsid w:val="00070EAC"/>
    <w:rsid w:val="00071378"/>
    <w:rsid w:val="00072F91"/>
    <w:rsid w:val="0007373B"/>
    <w:rsid w:val="00075D28"/>
    <w:rsid w:val="00075F15"/>
    <w:rsid w:val="000776AB"/>
    <w:rsid w:val="0007778E"/>
    <w:rsid w:val="000812EB"/>
    <w:rsid w:val="000816E6"/>
    <w:rsid w:val="000848AC"/>
    <w:rsid w:val="00084912"/>
    <w:rsid w:val="00084A9C"/>
    <w:rsid w:val="00084B3A"/>
    <w:rsid w:val="000855F3"/>
    <w:rsid w:val="00085D34"/>
    <w:rsid w:val="000863C6"/>
    <w:rsid w:val="0009087D"/>
    <w:rsid w:val="00091358"/>
    <w:rsid w:val="0009204B"/>
    <w:rsid w:val="00092E37"/>
    <w:rsid w:val="00094552"/>
    <w:rsid w:val="00094620"/>
    <w:rsid w:val="00094741"/>
    <w:rsid w:val="0009599C"/>
    <w:rsid w:val="000A068D"/>
    <w:rsid w:val="000A0B20"/>
    <w:rsid w:val="000A2585"/>
    <w:rsid w:val="000A49C9"/>
    <w:rsid w:val="000A5BF7"/>
    <w:rsid w:val="000A69A4"/>
    <w:rsid w:val="000A7E9B"/>
    <w:rsid w:val="000B0F66"/>
    <w:rsid w:val="000B1389"/>
    <w:rsid w:val="000B1AAC"/>
    <w:rsid w:val="000B1F7B"/>
    <w:rsid w:val="000B215D"/>
    <w:rsid w:val="000B2292"/>
    <w:rsid w:val="000B2D28"/>
    <w:rsid w:val="000B3B80"/>
    <w:rsid w:val="000B4168"/>
    <w:rsid w:val="000B7660"/>
    <w:rsid w:val="000C09F9"/>
    <w:rsid w:val="000C2999"/>
    <w:rsid w:val="000C31C0"/>
    <w:rsid w:val="000C3BAA"/>
    <w:rsid w:val="000C3FD8"/>
    <w:rsid w:val="000C6F2D"/>
    <w:rsid w:val="000C7AEF"/>
    <w:rsid w:val="000D0F9C"/>
    <w:rsid w:val="000D38E0"/>
    <w:rsid w:val="000D6FAE"/>
    <w:rsid w:val="000E0157"/>
    <w:rsid w:val="000E0A86"/>
    <w:rsid w:val="000E3F55"/>
    <w:rsid w:val="000E4664"/>
    <w:rsid w:val="000E6D4F"/>
    <w:rsid w:val="000E6F6D"/>
    <w:rsid w:val="000F04AB"/>
    <w:rsid w:val="000F2756"/>
    <w:rsid w:val="000F320C"/>
    <w:rsid w:val="000F3A24"/>
    <w:rsid w:val="000F6F70"/>
    <w:rsid w:val="000F77BD"/>
    <w:rsid w:val="000F7825"/>
    <w:rsid w:val="0010143D"/>
    <w:rsid w:val="001019F8"/>
    <w:rsid w:val="00102110"/>
    <w:rsid w:val="001048FD"/>
    <w:rsid w:val="001054DF"/>
    <w:rsid w:val="00105766"/>
    <w:rsid w:val="00106FB8"/>
    <w:rsid w:val="001072CC"/>
    <w:rsid w:val="00110C03"/>
    <w:rsid w:val="00110D47"/>
    <w:rsid w:val="001115EF"/>
    <w:rsid w:val="001122C5"/>
    <w:rsid w:val="00112E7F"/>
    <w:rsid w:val="00113315"/>
    <w:rsid w:val="00120515"/>
    <w:rsid w:val="00121A0C"/>
    <w:rsid w:val="00122808"/>
    <w:rsid w:val="00122960"/>
    <w:rsid w:val="0012301F"/>
    <w:rsid w:val="00124D53"/>
    <w:rsid w:val="0012596B"/>
    <w:rsid w:val="001266D0"/>
    <w:rsid w:val="0013176E"/>
    <w:rsid w:val="00132547"/>
    <w:rsid w:val="00132B61"/>
    <w:rsid w:val="0013418A"/>
    <w:rsid w:val="00134C8C"/>
    <w:rsid w:val="00134FC6"/>
    <w:rsid w:val="00135586"/>
    <w:rsid w:val="001370C0"/>
    <w:rsid w:val="001376FE"/>
    <w:rsid w:val="00141E8D"/>
    <w:rsid w:val="001452BC"/>
    <w:rsid w:val="00146335"/>
    <w:rsid w:val="001469CA"/>
    <w:rsid w:val="001478AB"/>
    <w:rsid w:val="0015020F"/>
    <w:rsid w:val="0015097D"/>
    <w:rsid w:val="00150A8F"/>
    <w:rsid w:val="001515CE"/>
    <w:rsid w:val="0015319E"/>
    <w:rsid w:val="001537FA"/>
    <w:rsid w:val="00153843"/>
    <w:rsid w:val="001543EC"/>
    <w:rsid w:val="00154BFA"/>
    <w:rsid w:val="00154F32"/>
    <w:rsid w:val="00155BE9"/>
    <w:rsid w:val="00156883"/>
    <w:rsid w:val="00156B89"/>
    <w:rsid w:val="00156ECF"/>
    <w:rsid w:val="001607B4"/>
    <w:rsid w:val="001622AC"/>
    <w:rsid w:val="00164523"/>
    <w:rsid w:val="00164CF8"/>
    <w:rsid w:val="00165CE6"/>
    <w:rsid w:val="0016609E"/>
    <w:rsid w:val="00166CED"/>
    <w:rsid w:val="001719E8"/>
    <w:rsid w:val="001758F7"/>
    <w:rsid w:val="001772C9"/>
    <w:rsid w:val="00182835"/>
    <w:rsid w:val="00183B7B"/>
    <w:rsid w:val="00183D00"/>
    <w:rsid w:val="00184826"/>
    <w:rsid w:val="00184B82"/>
    <w:rsid w:val="00190266"/>
    <w:rsid w:val="001905B1"/>
    <w:rsid w:val="00190A49"/>
    <w:rsid w:val="00190BF4"/>
    <w:rsid w:val="00192EFA"/>
    <w:rsid w:val="001931E8"/>
    <w:rsid w:val="001945D6"/>
    <w:rsid w:val="00194A6A"/>
    <w:rsid w:val="001A10E5"/>
    <w:rsid w:val="001A4194"/>
    <w:rsid w:val="001A4A3C"/>
    <w:rsid w:val="001A50AB"/>
    <w:rsid w:val="001A5FDA"/>
    <w:rsid w:val="001A5FE5"/>
    <w:rsid w:val="001A60B8"/>
    <w:rsid w:val="001A683B"/>
    <w:rsid w:val="001A71A4"/>
    <w:rsid w:val="001B03A5"/>
    <w:rsid w:val="001B16D8"/>
    <w:rsid w:val="001B1E97"/>
    <w:rsid w:val="001B2EC4"/>
    <w:rsid w:val="001B5E44"/>
    <w:rsid w:val="001C0786"/>
    <w:rsid w:val="001C13F7"/>
    <w:rsid w:val="001C16D7"/>
    <w:rsid w:val="001C42FF"/>
    <w:rsid w:val="001C43E9"/>
    <w:rsid w:val="001C5060"/>
    <w:rsid w:val="001C5A39"/>
    <w:rsid w:val="001C6065"/>
    <w:rsid w:val="001C6D20"/>
    <w:rsid w:val="001D0A8E"/>
    <w:rsid w:val="001D0FB8"/>
    <w:rsid w:val="001D177B"/>
    <w:rsid w:val="001D2817"/>
    <w:rsid w:val="001D34AB"/>
    <w:rsid w:val="001D3A1D"/>
    <w:rsid w:val="001D3E8D"/>
    <w:rsid w:val="001E05EE"/>
    <w:rsid w:val="001E0B1F"/>
    <w:rsid w:val="001E0C42"/>
    <w:rsid w:val="001E0FB2"/>
    <w:rsid w:val="001E1F5D"/>
    <w:rsid w:val="001E25A7"/>
    <w:rsid w:val="001E2F62"/>
    <w:rsid w:val="001E3CDE"/>
    <w:rsid w:val="001E53A7"/>
    <w:rsid w:val="001E5ABE"/>
    <w:rsid w:val="001E7588"/>
    <w:rsid w:val="001F19E6"/>
    <w:rsid w:val="001F25AB"/>
    <w:rsid w:val="001F27FB"/>
    <w:rsid w:val="001F2C60"/>
    <w:rsid w:val="001F417F"/>
    <w:rsid w:val="001F72B8"/>
    <w:rsid w:val="00201E36"/>
    <w:rsid w:val="0020210D"/>
    <w:rsid w:val="0020275E"/>
    <w:rsid w:val="0020557F"/>
    <w:rsid w:val="00205621"/>
    <w:rsid w:val="002069C7"/>
    <w:rsid w:val="00206B47"/>
    <w:rsid w:val="00210AFE"/>
    <w:rsid w:val="00211A75"/>
    <w:rsid w:val="00211D0F"/>
    <w:rsid w:val="0021476E"/>
    <w:rsid w:val="0022045A"/>
    <w:rsid w:val="00221906"/>
    <w:rsid w:val="00222042"/>
    <w:rsid w:val="00223319"/>
    <w:rsid w:val="00224BB1"/>
    <w:rsid w:val="00225AB5"/>
    <w:rsid w:val="002260CA"/>
    <w:rsid w:val="00226243"/>
    <w:rsid w:val="0022662F"/>
    <w:rsid w:val="00230BFA"/>
    <w:rsid w:val="00230C37"/>
    <w:rsid w:val="00231733"/>
    <w:rsid w:val="002348E4"/>
    <w:rsid w:val="00235180"/>
    <w:rsid w:val="00235EB5"/>
    <w:rsid w:val="00237951"/>
    <w:rsid w:val="00237F4F"/>
    <w:rsid w:val="00241077"/>
    <w:rsid w:val="002413BF"/>
    <w:rsid w:val="002425DB"/>
    <w:rsid w:val="0024427E"/>
    <w:rsid w:val="00244745"/>
    <w:rsid w:val="002472FE"/>
    <w:rsid w:val="00250DE8"/>
    <w:rsid w:val="00250E05"/>
    <w:rsid w:val="00250F70"/>
    <w:rsid w:val="00251B0D"/>
    <w:rsid w:val="00252EF8"/>
    <w:rsid w:val="00253AE4"/>
    <w:rsid w:val="00253DB4"/>
    <w:rsid w:val="00253FC9"/>
    <w:rsid w:val="002546F7"/>
    <w:rsid w:val="00254A5C"/>
    <w:rsid w:val="00254B85"/>
    <w:rsid w:val="00254DC6"/>
    <w:rsid w:val="00256B7C"/>
    <w:rsid w:val="00256E0D"/>
    <w:rsid w:val="00257220"/>
    <w:rsid w:val="0025760B"/>
    <w:rsid w:val="00257C3D"/>
    <w:rsid w:val="00262129"/>
    <w:rsid w:val="00262326"/>
    <w:rsid w:val="00262D34"/>
    <w:rsid w:val="0026397F"/>
    <w:rsid w:val="00263CAB"/>
    <w:rsid w:val="00265575"/>
    <w:rsid w:val="00266722"/>
    <w:rsid w:val="00271220"/>
    <w:rsid w:val="00271963"/>
    <w:rsid w:val="00272670"/>
    <w:rsid w:val="00273058"/>
    <w:rsid w:val="00273525"/>
    <w:rsid w:val="002745A5"/>
    <w:rsid w:val="00277DBF"/>
    <w:rsid w:val="00280148"/>
    <w:rsid w:val="0028118C"/>
    <w:rsid w:val="00281C82"/>
    <w:rsid w:val="002825E0"/>
    <w:rsid w:val="00284CAF"/>
    <w:rsid w:val="002855BC"/>
    <w:rsid w:val="00286135"/>
    <w:rsid w:val="002864CF"/>
    <w:rsid w:val="00286510"/>
    <w:rsid w:val="00286A89"/>
    <w:rsid w:val="002913A7"/>
    <w:rsid w:val="002945A7"/>
    <w:rsid w:val="0029489F"/>
    <w:rsid w:val="00294C1E"/>
    <w:rsid w:val="00295B53"/>
    <w:rsid w:val="00296FD1"/>
    <w:rsid w:val="00297265"/>
    <w:rsid w:val="0029760B"/>
    <w:rsid w:val="002977A3"/>
    <w:rsid w:val="00297B5A"/>
    <w:rsid w:val="002A0250"/>
    <w:rsid w:val="002A03A0"/>
    <w:rsid w:val="002A0DB3"/>
    <w:rsid w:val="002A50B1"/>
    <w:rsid w:val="002A6760"/>
    <w:rsid w:val="002A7059"/>
    <w:rsid w:val="002A7A98"/>
    <w:rsid w:val="002B02E3"/>
    <w:rsid w:val="002B0D8E"/>
    <w:rsid w:val="002B1122"/>
    <w:rsid w:val="002B2612"/>
    <w:rsid w:val="002B286D"/>
    <w:rsid w:val="002B3277"/>
    <w:rsid w:val="002B3C75"/>
    <w:rsid w:val="002B59FB"/>
    <w:rsid w:val="002B6AAD"/>
    <w:rsid w:val="002B75B3"/>
    <w:rsid w:val="002C2248"/>
    <w:rsid w:val="002C2E88"/>
    <w:rsid w:val="002C54B1"/>
    <w:rsid w:val="002C5665"/>
    <w:rsid w:val="002C6995"/>
    <w:rsid w:val="002C6B1D"/>
    <w:rsid w:val="002C7298"/>
    <w:rsid w:val="002C7582"/>
    <w:rsid w:val="002D31A2"/>
    <w:rsid w:val="002D3F5F"/>
    <w:rsid w:val="002D5832"/>
    <w:rsid w:val="002D5A43"/>
    <w:rsid w:val="002D5FEC"/>
    <w:rsid w:val="002D7BF1"/>
    <w:rsid w:val="002E0503"/>
    <w:rsid w:val="002E101E"/>
    <w:rsid w:val="002E1ACB"/>
    <w:rsid w:val="002E20AB"/>
    <w:rsid w:val="002E23A3"/>
    <w:rsid w:val="002E34DB"/>
    <w:rsid w:val="002E3BB6"/>
    <w:rsid w:val="002E449A"/>
    <w:rsid w:val="002E68D3"/>
    <w:rsid w:val="002E7022"/>
    <w:rsid w:val="002E783D"/>
    <w:rsid w:val="002F00CB"/>
    <w:rsid w:val="002F2513"/>
    <w:rsid w:val="002F3E01"/>
    <w:rsid w:val="002F41AA"/>
    <w:rsid w:val="002F4BA6"/>
    <w:rsid w:val="002F544A"/>
    <w:rsid w:val="002F5AFB"/>
    <w:rsid w:val="002F5B8A"/>
    <w:rsid w:val="002F7E4E"/>
    <w:rsid w:val="0030148F"/>
    <w:rsid w:val="003018D8"/>
    <w:rsid w:val="00302C77"/>
    <w:rsid w:val="0030460E"/>
    <w:rsid w:val="003049C5"/>
    <w:rsid w:val="00305164"/>
    <w:rsid w:val="00307E92"/>
    <w:rsid w:val="003109BE"/>
    <w:rsid w:val="00310E0D"/>
    <w:rsid w:val="003119DA"/>
    <w:rsid w:val="0031432D"/>
    <w:rsid w:val="00317B68"/>
    <w:rsid w:val="003221C8"/>
    <w:rsid w:val="00325F2C"/>
    <w:rsid w:val="00334592"/>
    <w:rsid w:val="00335089"/>
    <w:rsid w:val="0033691A"/>
    <w:rsid w:val="00340865"/>
    <w:rsid w:val="00344855"/>
    <w:rsid w:val="00344954"/>
    <w:rsid w:val="003464E0"/>
    <w:rsid w:val="00346578"/>
    <w:rsid w:val="00346F73"/>
    <w:rsid w:val="00350163"/>
    <w:rsid w:val="003507FB"/>
    <w:rsid w:val="00350D13"/>
    <w:rsid w:val="00350EF4"/>
    <w:rsid w:val="00353414"/>
    <w:rsid w:val="00354CB4"/>
    <w:rsid w:val="003555ED"/>
    <w:rsid w:val="003568D7"/>
    <w:rsid w:val="0035733F"/>
    <w:rsid w:val="0035787E"/>
    <w:rsid w:val="00357E4C"/>
    <w:rsid w:val="003638E2"/>
    <w:rsid w:val="00364488"/>
    <w:rsid w:val="00367465"/>
    <w:rsid w:val="00367C4E"/>
    <w:rsid w:val="00370914"/>
    <w:rsid w:val="00370993"/>
    <w:rsid w:val="0037320A"/>
    <w:rsid w:val="00374C51"/>
    <w:rsid w:val="0037515D"/>
    <w:rsid w:val="00376E44"/>
    <w:rsid w:val="00377F97"/>
    <w:rsid w:val="00382943"/>
    <w:rsid w:val="00383304"/>
    <w:rsid w:val="00383472"/>
    <w:rsid w:val="00386111"/>
    <w:rsid w:val="00386BB8"/>
    <w:rsid w:val="003926ED"/>
    <w:rsid w:val="00396FD6"/>
    <w:rsid w:val="00397667"/>
    <w:rsid w:val="003976B1"/>
    <w:rsid w:val="003A0A45"/>
    <w:rsid w:val="003A464B"/>
    <w:rsid w:val="003A647D"/>
    <w:rsid w:val="003B0379"/>
    <w:rsid w:val="003B196B"/>
    <w:rsid w:val="003B19A6"/>
    <w:rsid w:val="003B4332"/>
    <w:rsid w:val="003B4C96"/>
    <w:rsid w:val="003B4DE5"/>
    <w:rsid w:val="003B5F1A"/>
    <w:rsid w:val="003B6015"/>
    <w:rsid w:val="003B746A"/>
    <w:rsid w:val="003B786B"/>
    <w:rsid w:val="003C0526"/>
    <w:rsid w:val="003C0F17"/>
    <w:rsid w:val="003C1EC4"/>
    <w:rsid w:val="003C2070"/>
    <w:rsid w:val="003C30C9"/>
    <w:rsid w:val="003C54BB"/>
    <w:rsid w:val="003C5AFD"/>
    <w:rsid w:val="003C5F3D"/>
    <w:rsid w:val="003C6C4E"/>
    <w:rsid w:val="003C6DAF"/>
    <w:rsid w:val="003C7557"/>
    <w:rsid w:val="003C7769"/>
    <w:rsid w:val="003D17BE"/>
    <w:rsid w:val="003D1AD5"/>
    <w:rsid w:val="003D2B12"/>
    <w:rsid w:val="003D3410"/>
    <w:rsid w:val="003D4271"/>
    <w:rsid w:val="003D480F"/>
    <w:rsid w:val="003D4F3B"/>
    <w:rsid w:val="003D5076"/>
    <w:rsid w:val="003D67E9"/>
    <w:rsid w:val="003E112B"/>
    <w:rsid w:val="003E26BD"/>
    <w:rsid w:val="003E340B"/>
    <w:rsid w:val="003E4327"/>
    <w:rsid w:val="003E57B0"/>
    <w:rsid w:val="003E7EAC"/>
    <w:rsid w:val="003F2037"/>
    <w:rsid w:val="003F219E"/>
    <w:rsid w:val="003F49C8"/>
    <w:rsid w:val="003F6202"/>
    <w:rsid w:val="003F742B"/>
    <w:rsid w:val="003F766A"/>
    <w:rsid w:val="003F76A9"/>
    <w:rsid w:val="003F7928"/>
    <w:rsid w:val="00400FF6"/>
    <w:rsid w:val="004028F7"/>
    <w:rsid w:val="0040448D"/>
    <w:rsid w:val="00404495"/>
    <w:rsid w:val="00406F20"/>
    <w:rsid w:val="00411651"/>
    <w:rsid w:val="00412FC4"/>
    <w:rsid w:val="00413056"/>
    <w:rsid w:val="00416FA0"/>
    <w:rsid w:val="00417C66"/>
    <w:rsid w:val="004209C8"/>
    <w:rsid w:val="004235BF"/>
    <w:rsid w:val="00424DD8"/>
    <w:rsid w:val="0042692C"/>
    <w:rsid w:val="00427FC9"/>
    <w:rsid w:val="00431BEA"/>
    <w:rsid w:val="00432097"/>
    <w:rsid w:val="0043213A"/>
    <w:rsid w:val="0043260B"/>
    <w:rsid w:val="00433C24"/>
    <w:rsid w:val="00433FC0"/>
    <w:rsid w:val="00437C13"/>
    <w:rsid w:val="00442719"/>
    <w:rsid w:val="00443D24"/>
    <w:rsid w:val="0044468C"/>
    <w:rsid w:val="00445012"/>
    <w:rsid w:val="0044746D"/>
    <w:rsid w:val="00450DBD"/>
    <w:rsid w:val="004513B4"/>
    <w:rsid w:val="0045151B"/>
    <w:rsid w:val="00451627"/>
    <w:rsid w:val="00452081"/>
    <w:rsid w:val="00453C5E"/>
    <w:rsid w:val="00454301"/>
    <w:rsid w:val="004545E1"/>
    <w:rsid w:val="00455104"/>
    <w:rsid w:val="00456C25"/>
    <w:rsid w:val="004611C4"/>
    <w:rsid w:val="0046166C"/>
    <w:rsid w:val="004623B6"/>
    <w:rsid w:val="004637F6"/>
    <w:rsid w:val="004649B4"/>
    <w:rsid w:val="00464F98"/>
    <w:rsid w:val="0046564B"/>
    <w:rsid w:val="00465C22"/>
    <w:rsid w:val="0046695A"/>
    <w:rsid w:val="00466F97"/>
    <w:rsid w:val="00470B30"/>
    <w:rsid w:val="004715C0"/>
    <w:rsid w:val="00472851"/>
    <w:rsid w:val="00474292"/>
    <w:rsid w:val="00475144"/>
    <w:rsid w:val="00475481"/>
    <w:rsid w:val="0047599C"/>
    <w:rsid w:val="00476496"/>
    <w:rsid w:val="00476535"/>
    <w:rsid w:val="00477056"/>
    <w:rsid w:val="0047717C"/>
    <w:rsid w:val="004773E3"/>
    <w:rsid w:val="00477DF9"/>
    <w:rsid w:val="00480AE3"/>
    <w:rsid w:val="00481AD9"/>
    <w:rsid w:val="0048348D"/>
    <w:rsid w:val="0048387D"/>
    <w:rsid w:val="0048688F"/>
    <w:rsid w:val="00487BB0"/>
    <w:rsid w:val="00490833"/>
    <w:rsid w:val="0049093E"/>
    <w:rsid w:val="00490980"/>
    <w:rsid w:val="00492319"/>
    <w:rsid w:val="00492744"/>
    <w:rsid w:val="00493DBF"/>
    <w:rsid w:val="00494350"/>
    <w:rsid w:val="004944C5"/>
    <w:rsid w:val="00494CCA"/>
    <w:rsid w:val="00495CBD"/>
    <w:rsid w:val="00496944"/>
    <w:rsid w:val="004A092D"/>
    <w:rsid w:val="004A158A"/>
    <w:rsid w:val="004A35EB"/>
    <w:rsid w:val="004A456F"/>
    <w:rsid w:val="004A5D39"/>
    <w:rsid w:val="004A5F7E"/>
    <w:rsid w:val="004A6786"/>
    <w:rsid w:val="004B0231"/>
    <w:rsid w:val="004B0B65"/>
    <w:rsid w:val="004B24A4"/>
    <w:rsid w:val="004B3204"/>
    <w:rsid w:val="004B4B91"/>
    <w:rsid w:val="004B5894"/>
    <w:rsid w:val="004B5D9E"/>
    <w:rsid w:val="004B6086"/>
    <w:rsid w:val="004B64C4"/>
    <w:rsid w:val="004C197F"/>
    <w:rsid w:val="004C1C5B"/>
    <w:rsid w:val="004C5E48"/>
    <w:rsid w:val="004D06F4"/>
    <w:rsid w:val="004D34DA"/>
    <w:rsid w:val="004D4485"/>
    <w:rsid w:val="004D4638"/>
    <w:rsid w:val="004D57F9"/>
    <w:rsid w:val="004D5833"/>
    <w:rsid w:val="004D74A8"/>
    <w:rsid w:val="004D753C"/>
    <w:rsid w:val="004D7624"/>
    <w:rsid w:val="004E09FE"/>
    <w:rsid w:val="004E19E2"/>
    <w:rsid w:val="004E1D26"/>
    <w:rsid w:val="004E1ED2"/>
    <w:rsid w:val="004E4FAC"/>
    <w:rsid w:val="004E55B8"/>
    <w:rsid w:val="004F0982"/>
    <w:rsid w:val="004F142B"/>
    <w:rsid w:val="004F27E6"/>
    <w:rsid w:val="004F29CE"/>
    <w:rsid w:val="004F35F7"/>
    <w:rsid w:val="004F658D"/>
    <w:rsid w:val="004F6F9E"/>
    <w:rsid w:val="004F76FA"/>
    <w:rsid w:val="004F7AF9"/>
    <w:rsid w:val="00500FA4"/>
    <w:rsid w:val="00501DBF"/>
    <w:rsid w:val="00501E51"/>
    <w:rsid w:val="00504102"/>
    <w:rsid w:val="00505FAD"/>
    <w:rsid w:val="00507406"/>
    <w:rsid w:val="00507823"/>
    <w:rsid w:val="00507BFD"/>
    <w:rsid w:val="00507F88"/>
    <w:rsid w:val="00512257"/>
    <w:rsid w:val="005122D7"/>
    <w:rsid w:val="00512B55"/>
    <w:rsid w:val="005141D5"/>
    <w:rsid w:val="00514780"/>
    <w:rsid w:val="005172CC"/>
    <w:rsid w:val="00520483"/>
    <w:rsid w:val="0052285D"/>
    <w:rsid w:val="00524CE2"/>
    <w:rsid w:val="0052627B"/>
    <w:rsid w:val="00526381"/>
    <w:rsid w:val="00531C49"/>
    <w:rsid w:val="00532057"/>
    <w:rsid w:val="00532328"/>
    <w:rsid w:val="00532CD0"/>
    <w:rsid w:val="00532EC8"/>
    <w:rsid w:val="00533316"/>
    <w:rsid w:val="0053403B"/>
    <w:rsid w:val="00536A5D"/>
    <w:rsid w:val="00537DDD"/>
    <w:rsid w:val="0054002D"/>
    <w:rsid w:val="005402A7"/>
    <w:rsid w:val="005440BA"/>
    <w:rsid w:val="0054494F"/>
    <w:rsid w:val="0054602E"/>
    <w:rsid w:val="0055249B"/>
    <w:rsid w:val="005524D2"/>
    <w:rsid w:val="005530F8"/>
    <w:rsid w:val="00553E4E"/>
    <w:rsid w:val="00555991"/>
    <w:rsid w:val="005562A6"/>
    <w:rsid w:val="00556D9F"/>
    <w:rsid w:val="00561357"/>
    <w:rsid w:val="00563B4A"/>
    <w:rsid w:val="005647CB"/>
    <w:rsid w:val="00565D96"/>
    <w:rsid w:val="00565F05"/>
    <w:rsid w:val="00567006"/>
    <w:rsid w:val="00574CE1"/>
    <w:rsid w:val="00575791"/>
    <w:rsid w:val="00576B52"/>
    <w:rsid w:val="00577BF5"/>
    <w:rsid w:val="00581C84"/>
    <w:rsid w:val="005827CB"/>
    <w:rsid w:val="00582EB2"/>
    <w:rsid w:val="00584968"/>
    <w:rsid w:val="005866AC"/>
    <w:rsid w:val="00587762"/>
    <w:rsid w:val="0059015B"/>
    <w:rsid w:val="005905E6"/>
    <w:rsid w:val="005911E3"/>
    <w:rsid w:val="005932FB"/>
    <w:rsid w:val="005A208B"/>
    <w:rsid w:val="005A2955"/>
    <w:rsid w:val="005A2C78"/>
    <w:rsid w:val="005A3FC3"/>
    <w:rsid w:val="005A7AC8"/>
    <w:rsid w:val="005A7EB8"/>
    <w:rsid w:val="005B1358"/>
    <w:rsid w:val="005B352E"/>
    <w:rsid w:val="005B46DA"/>
    <w:rsid w:val="005B4B49"/>
    <w:rsid w:val="005B5542"/>
    <w:rsid w:val="005B7B61"/>
    <w:rsid w:val="005B7DA4"/>
    <w:rsid w:val="005C036D"/>
    <w:rsid w:val="005C1514"/>
    <w:rsid w:val="005C2478"/>
    <w:rsid w:val="005C45D9"/>
    <w:rsid w:val="005C5FDD"/>
    <w:rsid w:val="005C6DCC"/>
    <w:rsid w:val="005D2A9C"/>
    <w:rsid w:val="005D4388"/>
    <w:rsid w:val="005D7FF3"/>
    <w:rsid w:val="005E0409"/>
    <w:rsid w:val="005E21DA"/>
    <w:rsid w:val="005E4E3E"/>
    <w:rsid w:val="005E522E"/>
    <w:rsid w:val="005E6154"/>
    <w:rsid w:val="005E74A7"/>
    <w:rsid w:val="005F0D5B"/>
    <w:rsid w:val="005F1876"/>
    <w:rsid w:val="005F2049"/>
    <w:rsid w:val="005F2CDB"/>
    <w:rsid w:val="005F3D5D"/>
    <w:rsid w:val="005F49AC"/>
    <w:rsid w:val="005F4E16"/>
    <w:rsid w:val="005F55F4"/>
    <w:rsid w:val="005F57DD"/>
    <w:rsid w:val="005F58F8"/>
    <w:rsid w:val="005F6093"/>
    <w:rsid w:val="005F6F5A"/>
    <w:rsid w:val="0060080C"/>
    <w:rsid w:val="00601554"/>
    <w:rsid w:val="00602580"/>
    <w:rsid w:val="0060346E"/>
    <w:rsid w:val="00605D73"/>
    <w:rsid w:val="006069B4"/>
    <w:rsid w:val="00607A97"/>
    <w:rsid w:val="00610A16"/>
    <w:rsid w:val="00613252"/>
    <w:rsid w:val="0061470E"/>
    <w:rsid w:val="0061541B"/>
    <w:rsid w:val="00616220"/>
    <w:rsid w:val="00622601"/>
    <w:rsid w:val="0062303F"/>
    <w:rsid w:val="006245CB"/>
    <w:rsid w:val="00625A01"/>
    <w:rsid w:val="006262ED"/>
    <w:rsid w:val="0062776D"/>
    <w:rsid w:val="006278ED"/>
    <w:rsid w:val="00627DE0"/>
    <w:rsid w:val="006336D1"/>
    <w:rsid w:val="0063458B"/>
    <w:rsid w:val="00635569"/>
    <w:rsid w:val="00635A35"/>
    <w:rsid w:val="006362E9"/>
    <w:rsid w:val="006363BB"/>
    <w:rsid w:val="00640482"/>
    <w:rsid w:val="00641DEF"/>
    <w:rsid w:val="00642539"/>
    <w:rsid w:val="006429CF"/>
    <w:rsid w:val="006429F6"/>
    <w:rsid w:val="00644E61"/>
    <w:rsid w:val="00645EA8"/>
    <w:rsid w:val="00645FD6"/>
    <w:rsid w:val="006462EA"/>
    <w:rsid w:val="00650214"/>
    <w:rsid w:val="00650AFA"/>
    <w:rsid w:val="006512E8"/>
    <w:rsid w:val="0065166E"/>
    <w:rsid w:val="00651EFF"/>
    <w:rsid w:val="00654BB8"/>
    <w:rsid w:val="00654C97"/>
    <w:rsid w:val="00655824"/>
    <w:rsid w:val="00656928"/>
    <w:rsid w:val="006573CE"/>
    <w:rsid w:val="00657D7A"/>
    <w:rsid w:val="0066196A"/>
    <w:rsid w:val="00662487"/>
    <w:rsid w:val="0066316B"/>
    <w:rsid w:val="00665120"/>
    <w:rsid w:val="0066554A"/>
    <w:rsid w:val="00666AFB"/>
    <w:rsid w:val="006735AA"/>
    <w:rsid w:val="00674D4A"/>
    <w:rsid w:val="0067508B"/>
    <w:rsid w:val="00676720"/>
    <w:rsid w:val="00676795"/>
    <w:rsid w:val="00677A01"/>
    <w:rsid w:val="00680668"/>
    <w:rsid w:val="00682356"/>
    <w:rsid w:val="0068301D"/>
    <w:rsid w:val="00683CD2"/>
    <w:rsid w:val="00686F84"/>
    <w:rsid w:val="00692520"/>
    <w:rsid w:val="006954BD"/>
    <w:rsid w:val="006956FA"/>
    <w:rsid w:val="00695A6E"/>
    <w:rsid w:val="00696275"/>
    <w:rsid w:val="006A0154"/>
    <w:rsid w:val="006A0C4C"/>
    <w:rsid w:val="006A0FFC"/>
    <w:rsid w:val="006A2BB7"/>
    <w:rsid w:val="006A2FD2"/>
    <w:rsid w:val="006A3015"/>
    <w:rsid w:val="006A4BEE"/>
    <w:rsid w:val="006B0024"/>
    <w:rsid w:val="006B2514"/>
    <w:rsid w:val="006B40B9"/>
    <w:rsid w:val="006B424D"/>
    <w:rsid w:val="006B696E"/>
    <w:rsid w:val="006B6A8D"/>
    <w:rsid w:val="006C0E7D"/>
    <w:rsid w:val="006C1206"/>
    <w:rsid w:val="006C285F"/>
    <w:rsid w:val="006C3D2D"/>
    <w:rsid w:val="006D01DE"/>
    <w:rsid w:val="006D0F75"/>
    <w:rsid w:val="006D3201"/>
    <w:rsid w:val="006D4D06"/>
    <w:rsid w:val="006D6FA2"/>
    <w:rsid w:val="006D7BFB"/>
    <w:rsid w:val="006E01CD"/>
    <w:rsid w:val="006E08A6"/>
    <w:rsid w:val="006E14BD"/>
    <w:rsid w:val="006E45AE"/>
    <w:rsid w:val="006E4930"/>
    <w:rsid w:val="006E77C8"/>
    <w:rsid w:val="006F1D1F"/>
    <w:rsid w:val="006F41E2"/>
    <w:rsid w:val="006F4B74"/>
    <w:rsid w:val="006F6759"/>
    <w:rsid w:val="006F6EAC"/>
    <w:rsid w:val="006F730C"/>
    <w:rsid w:val="006F78F3"/>
    <w:rsid w:val="006F7FB1"/>
    <w:rsid w:val="00700894"/>
    <w:rsid w:val="007054DC"/>
    <w:rsid w:val="00706562"/>
    <w:rsid w:val="00706CFE"/>
    <w:rsid w:val="00710549"/>
    <w:rsid w:val="00710CB9"/>
    <w:rsid w:val="00710E2D"/>
    <w:rsid w:val="00713404"/>
    <w:rsid w:val="0071642A"/>
    <w:rsid w:val="0072012E"/>
    <w:rsid w:val="00720B94"/>
    <w:rsid w:val="00720FD9"/>
    <w:rsid w:val="007228A0"/>
    <w:rsid w:val="00723996"/>
    <w:rsid w:val="00724028"/>
    <w:rsid w:val="00725312"/>
    <w:rsid w:val="007278FE"/>
    <w:rsid w:val="00727A6D"/>
    <w:rsid w:val="00727A6F"/>
    <w:rsid w:val="00730074"/>
    <w:rsid w:val="0073148C"/>
    <w:rsid w:val="007336A0"/>
    <w:rsid w:val="00735A1F"/>
    <w:rsid w:val="0073641D"/>
    <w:rsid w:val="007371EB"/>
    <w:rsid w:val="00741134"/>
    <w:rsid w:val="00741A1C"/>
    <w:rsid w:val="00742AC2"/>
    <w:rsid w:val="00743145"/>
    <w:rsid w:val="00745EAF"/>
    <w:rsid w:val="00746FA4"/>
    <w:rsid w:val="00750748"/>
    <w:rsid w:val="007539B1"/>
    <w:rsid w:val="00753E00"/>
    <w:rsid w:val="00754D90"/>
    <w:rsid w:val="00755D9E"/>
    <w:rsid w:val="00755F4A"/>
    <w:rsid w:val="00757604"/>
    <w:rsid w:val="00757A38"/>
    <w:rsid w:val="00757D0F"/>
    <w:rsid w:val="00760079"/>
    <w:rsid w:val="00761266"/>
    <w:rsid w:val="007624E7"/>
    <w:rsid w:val="007624F4"/>
    <w:rsid w:val="007639CA"/>
    <w:rsid w:val="007675EF"/>
    <w:rsid w:val="007679AC"/>
    <w:rsid w:val="00767E55"/>
    <w:rsid w:val="0077142B"/>
    <w:rsid w:val="00771488"/>
    <w:rsid w:val="0077406E"/>
    <w:rsid w:val="00774116"/>
    <w:rsid w:val="00774734"/>
    <w:rsid w:val="00775024"/>
    <w:rsid w:val="00775F92"/>
    <w:rsid w:val="007806B5"/>
    <w:rsid w:val="00780880"/>
    <w:rsid w:val="007808B9"/>
    <w:rsid w:val="00782A32"/>
    <w:rsid w:val="00784550"/>
    <w:rsid w:val="0078480B"/>
    <w:rsid w:val="00784AAC"/>
    <w:rsid w:val="007857AB"/>
    <w:rsid w:val="007859DE"/>
    <w:rsid w:val="00785F13"/>
    <w:rsid w:val="00785FFA"/>
    <w:rsid w:val="00786250"/>
    <w:rsid w:val="0078662F"/>
    <w:rsid w:val="00791199"/>
    <w:rsid w:val="007922F9"/>
    <w:rsid w:val="00794304"/>
    <w:rsid w:val="00794DAF"/>
    <w:rsid w:val="007954D0"/>
    <w:rsid w:val="007975B8"/>
    <w:rsid w:val="00797713"/>
    <w:rsid w:val="00797DE5"/>
    <w:rsid w:val="007A0ACD"/>
    <w:rsid w:val="007A2983"/>
    <w:rsid w:val="007A58C0"/>
    <w:rsid w:val="007A5AD2"/>
    <w:rsid w:val="007A5F34"/>
    <w:rsid w:val="007A62B5"/>
    <w:rsid w:val="007B0623"/>
    <w:rsid w:val="007B0D01"/>
    <w:rsid w:val="007B0DB7"/>
    <w:rsid w:val="007B153A"/>
    <w:rsid w:val="007B22C6"/>
    <w:rsid w:val="007B690F"/>
    <w:rsid w:val="007B7136"/>
    <w:rsid w:val="007C0272"/>
    <w:rsid w:val="007C056D"/>
    <w:rsid w:val="007C0C9A"/>
    <w:rsid w:val="007C2396"/>
    <w:rsid w:val="007C3C5A"/>
    <w:rsid w:val="007C7492"/>
    <w:rsid w:val="007D239E"/>
    <w:rsid w:val="007D4FE6"/>
    <w:rsid w:val="007D5CDC"/>
    <w:rsid w:val="007D6161"/>
    <w:rsid w:val="007D617E"/>
    <w:rsid w:val="007D6DBB"/>
    <w:rsid w:val="007D75B2"/>
    <w:rsid w:val="007D7AAE"/>
    <w:rsid w:val="007E13F3"/>
    <w:rsid w:val="007E1A41"/>
    <w:rsid w:val="007E1AEF"/>
    <w:rsid w:val="007E1B6F"/>
    <w:rsid w:val="007E27E7"/>
    <w:rsid w:val="007E2ED3"/>
    <w:rsid w:val="007E302D"/>
    <w:rsid w:val="007E4859"/>
    <w:rsid w:val="007E5BAB"/>
    <w:rsid w:val="007E70F1"/>
    <w:rsid w:val="007E78A0"/>
    <w:rsid w:val="007E7B8F"/>
    <w:rsid w:val="007F051C"/>
    <w:rsid w:val="007F1C75"/>
    <w:rsid w:val="007F2001"/>
    <w:rsid w:val="007F2790"/>
    <w:rsid w:val="007F2C92"/>
    <w:rsid w:val="007F3EB5"/>
    <w:rsid w:val="007F65CD"/>
    <w:rsid w:val="007F72E2"/>
    <w:rsid w:val="007F785C"/>
    <w:rsid w:val="0080068F"/>
    <w:rsid w:val="008030F0"/>
    <w:rsid w:val="00803F25"/>
    <w:rsid w:val="00804F64"/>
    <w:rsid w:val="0080616C"/>
    <w:rsid w:val="008076B2"/>
    <w:rsid w:val="0081028F"/>
    <w:rsid w:val="0081049D"/>
    <w:rsid w:val="0081058C"/>
    <w:rsid w:val="0081361E"/>
    <w:rsid w:val="00815D32"/>
    <w:rsid w:val="00816867"/>
    <w:rsid w:val="00820AF2"/>
    <w:rsid w:val="008247CC"/>
    <w:rsid w:val="00825410"/>
    <w:rsid w:val="008254D7"/>
    <w:rsid w:val="00826FE0"/>
    <w:rsid w:val="008308B2"/>
    <w:rsid w:val="0083104C"/>
    <w:rsid w:val="00831322"/>
    <w:rsid w:val="008318DD"/>
    <w:rsid w:val="00831910"/>
    <w:rsid w:val="00834B45"/>
    <w:rsid w:val="00835466"/>
    <w:rsid w:val="0083614F"/>
    <w:rsid w:val="00836CDD"/>
    <w:rsid w:val="00836DB1"/>
    <w:rsid w:val="00836EB0"/>
    <w:rsid w:val="008375C0"/>
    <w:rsid w:val="0084027D"/>
    <w:rsid w:val="00840E8D"/>
    <w:rsid w:val="00843601"/>
    <w:rsid w:val="008436C5"/>
    <w:rsid w:val="00844017"/>
    <w:rsid w:val="00844879"/>
    <w:rsid w:val="008455F1"/>
    <w:rsid w:val="0084583C"/>
    <w:rsid w:val="00847285"/>
    <w:rsid w:val="00851F1A"/>
    <w:rsid w:val="008524AE"/>
    <w:rsid w:val="0085581C"/>
    <w:rsid w:val="00855A24"/>
    <w:rsid w:val="008574BC"/>
    <w:rsid w:val="0085790A"/>
    <w:rsid w:val="00857DE2"/>
    <w:rsid w:val="00860195"/>
    <w:rsid w:val="00860744"/>
    <w:rsid w:val="00860C8A"/>
    <w:rsid w:val="00861B83"/>
    <w:rsid w:val="00862C68"/>
    <w:rsid w:val="00863108"/>
    <w:rsid w:val="008634BC"/>
    <w:rsid w:val="00863875"/>
    <w:rsid w:val="00863F38"/>
    <w:rsid w:val="0086435F"/>
    <w:rsid w:val="0086503C"/>
    <w:rsid w:val="008653EE"/>
    <w:rsid w:val="008677AF"/>
    <w:rsid w:val="00871796"/>
    <w:rsid w:val="0087270F"/>
    <w:rsid w:val="008739AA"/>
    <w:rsid w:val="00874654"/>
    <w:rsid w:val="00875EB1"/>
    <w:rsid w:val="00876C6E"/>
    <w:rsid w:val="008771D6"/>
    <w:rsid w:val="00877BA0"/>
    <w:rsid w:val="00881A83"/>
    <w:rsid w:val="00881EA4"/>
    <w:rsid w:val="00882FFD"/>
    <w:rsid w:val="00884661"/>
    <w:rsid w:val="00884BBA"/>
    <w:rsid w:val="00884FEE"/>
    <w:rsid w:val="008851FE"/>
    <w:rsid w:val="0088545D"/>
    <w:rsid w:val="00887940"/>
    <w:rsid w:val="00890C15"/>
    <w:rsid w:val="00891116"/>
    <w:rsid w:val="008928B3"/>
    <w:rsid w:val="00894618"/>
    <w:rsid w:val="008958FE"/>
    <w:rsid w:val="00895EBC"/>
    <w:rsid w:val="00896E1A"/>
    <w:rsid w:val="008A4C1E"/>
    <w:rsid w:val="008A4D31"/>
    <w:rsid w:val="008A5635"/>
    <w:rsid w:val="008A6570"/>
    <w:rsid w:val="008A66ED"/>
    <w:rsid w:val="008A73EF"/>
    <w:rsid w:val="008A7C3F"/>
    <w:rsid w:val="008B0220"/>
    <w:rsid w:val="008B1B69"/>
    <w:rsid w:val="008B3AAF"/>
    <w:rsid w:val="008B470B"/>
    <w:rsid w:val="008B4C26"/>
    <w:rsid w:val="008B72DC"/>
    <w:rsid w:val="008C0A60"/>
    <w:rsid w:val="008C13B0"/>
    <w:rsid w:val="008C2D85"/>
    <w:rsid w:val="008C362A"/>
    <w:rsid w:val="008C38AC"/>
    <w:rsid w:val="008D057E"/>
    <w:rsid w:val="008D1029"/>
    <w:rsid w:val="008D27EA"/>
    <w:rsid w:val="008D4537"/>
    <w:rsid w:val="008D4D3E"/>
    <w:rsid w:val="008D521F"/>
    <w:rsid w:val="008D5800"/>
    <w:rsid w:val="008D5ECD"/>
    <w:rsid w:val="008D717F"/>
    <w:rsid w:val="008E1401"/>
    <w:rsid w:val="008E1AA1"/>
    <w:rsid w:val="008E28CA"/>
    <w:rsid w:val="008E4DE9"/>
    <w:rsid w:val="008E6BE9"/>
    <w:rsid w:val="008F07B0"/>
    <w:rsid w:val="008F1748"/>
    <w:rsid w:val="008F5544"/>
    <w:rsid w:val="008F5C21"/>
    <w:rsid w:val="008F5DA7"/>
    <w:rsid w:val="008F6672"/>
    <w:rsid w:val="008F7A7F"/>
    <w:rsid w:val="00900A66"/>
    <w:rsid w:val="00902CE3"/>
    <w:rsid w:val="0090397B"/>
    <w:rsid w:val="009045F3"/>
    <w:rsid w:val="0090534E"/>
    <w:rsid w:val="0090559B"/>
    <w:rsid w:val="0090613A"/>
    <w:rsid w:val="00906D48"/>
    <w:rsid w:val="009072BD"/>
    <w:rsid w:val="00912750"/>
    <w:rsid w:val="0091358D"/>
    <w:rsid w:val="00913B2F"/>
    <w:rsid w:val="00913E28"/>
    <w:rsid w:val="00914390"/>
    <w:rsid w:val="00914788"/>
    <w:rsid w:val="00917EE8"/>
    <w:rsid w:val="009202A7"/>
    <w:rsid w:val="009205E6"/>
    <w:rsid w:val="00920A57"/>
    <w:rsid w:val="0092273E"/>
    <w:rsid w:val="00924219"/>
    <w:rsid w:val="0092464D"/>
    <w:rsid w:val="00924E09"/>
    <w:rsid w:val="00924F38"/>
    <w:rsid w:val="00926C54"/>
    <w:rsid w:val="00927439"/>
    <w:rsid w:val="00931F40"/>
    <w:rsid w:val="00932753"/>
    <w:rsid w:val="00933AF9"/>
    <w:rsid w:val="00933E52"/>
    <w:rsid w:val="009341DC"/>
    <w:rsid w:val="009342E7"/>
    <w:rsid w:val="0093496B"/>
    <w:rsid w:val="00940262"/>
    <w:rsid w:val="00941768"/>
    <w:rsid w:val="00942E72"/>
    <w:rsid w:val="00942FC2"/>
    <w:rsid w:val="00943C28"/>
    <w:rsid w:val="00944538"/>
    <w:rsid w:val="0094690B"/>
    <w:rsid w:val="00951780"/>
    <w:rsid w:val="00952C3F"/>
    <w:rsid w:val="0095496B"/>
    <w:rsid w:val="00960229"/>
    <w:rsid w:val="00960AC4"/>
    <w:rsid w:val="00960EEA"/>
    <w:rsid w:val="00960F07"/>
    <w:rsid w:val="00961703"/>
    <w:rsid w:val="009617AD"/>
    <w:rsid w:val="009625CA"/>
    <w:rsid w:val="00962C1D"/>
    <w:rsid w:val="00962DEF"/>
    <w:rsid w:val="009659F7"/>
    <w:rsid w:val="00967173"/>
    <w:rsid w:val="0096783A"/>
    <w:rsid w:val="0097053E"/>
    <w:rsid w:val="00971053"/>
    <w:rsid w:val="00971B08"/>
    <w:rsid w:val="00971C4A"/>
    <w:rsid w:val="009727AD"/>
    <w:rsid w:val="00972EBF"/>
    <w:rsid w:val="00975D89"/>
    <w:rsid w:val="00976120"/>
    <w:rsid w:val="00977748"/>
    <w:rsid w:val="00977A26"/>
    <w:rsid w:val="009825DC"/>
    <w:rsid w:val="00982647"/>
    <w:rsid w:val="00984B76"/>
    <w:rsid w:val="00985202"/>
    <w:rsid w:val="009853BF"/>
    <w:rsid w:val="00985901"/>
    <w:rsid w:val="00985D63"/>
    <w:rsid w:val="00985DC3"/>
    <w:rsid w:val="00990AE5"/>
    <w:rsid w:val="0099230E"/>
    <w:rsid w:val="0099263E"/>
    <w:rsid w:val="00992D84"/>
    <w:rsid w:val="00992E71"/>
    <w:rsid w:val="00992F38"/>
    <w:rsid w:val="009A0098"/>
    <w:rsid w:val="009A1ADB"/>
    <w:rsid w:val="009A1E46"/>
    <w:rsid w:val="009A1F2F"/>
    <w:rsid w:val="009A2372"/>
    <w:rsid w:val="009A2AED"/>
    <w:rsid w:val="009A2E74"/>
    <w:rsid w:val="009A2EC1"/>
    <w:rsid w:val="009A33D6"/>
    <w:rsid w:val="009A3BC5"/>
    <w:rsid w:val="009A4AA4"/>
    <w:rsid w:val="009A5472"/>
    <w:rsid w:val="009A5AF3"/>
    <w:rsid w:val="009B1A75"/>
    <w:rsid w:val="009B1BAF"/>
    <w:rsid w:val="009B221F"/>
    <w:rsid w:val="009B2B7F"/>
    <w:rsid w:val="009B3724"/>
    <w:rsid w:val="009B3C39"/>
    <w:rsid w:val="009B3D13"/>
    <w:rsid w:val="009B4952"/>
    <w:rsid w:val="009B4B16"/>
    <w:rsid w:val="009B63BB"/>
    <w:rsid w:val="009B6BFA"/>
    <w:rsid w:val="009B7781"/>
    <w:rsid w:val="009B7BA2"/>
    <w:rsid w:val="009C13E0"/>
    <w:rsid w:val="009C198B"/>
    <w:rsid w:val="009C51C0"/>
    <w:rsid w:val="009C55DE"/>
    <w:rsid w:val="009C6A9A"/>
    <w:rsid w:val="009D0571"/>
    <w:rsid w:val="009D0B58"/>
    <w:rsid w:val="009D12B3"/>
    <w:rsid w:val="009D1378"/>
    <w:rsid w:val="009D2F97"/>
    <w:rsid w:val="009D3797"/>
    <w:rsid w:val="009D588D"/>
    <w:rsid w:val="009D5F6C"/>
    <w:rsid w:val="009D7002"/>
    <w:rsid w:val="009E0204"/>
    <w:rsid w:val="009E1FC9"/>
    <w:rsid w:val="009E3696"/>
    <w:rsid w:val="009E49F3"/>
    <w:rsid w:val="009E6861"/>
    <w:rsid w:val="009E6950"/>
    <w:rsid w:val="009E70E2"/>
    <w:rsid w:val="009F041E"/>
    <w:rsid w:val="009F4A05"/>
    <w:rsid w:val="009F5A65"/>
    <w:rsid w:val="009F6536"/>
    <w:rsid w:val="009F707A"/>
    <w:rsid w:val="00A00808"/>
    <w:rsid w:val="00A011D3"/>
    <w:rsid w:val="00A02CC2"/>
    <w:rsid w:val="00A071B4"/>
    <w:rsid w:val="00A10C50"/>
    <w:rsid w:val="00A12737"/>
    <w:rsid w:val="00A12784"/>
    <w:rsid w:val="00A12B6D"/>
    <w:rsid w:val="00A12FD8"/>
    <w:rsid w:val="00A13F8D"/>
    <w:rsid w:val="00A14B3A"/>
    <w:rsid w:val="00A16AB9"/>
    <w:rsid w:val="00A177FE"/>
    <w:rsid w:val="00A2077A"/>
    <w:rsid w:val="00A20CBF"/>
    <w:rsid w:val="00A20CE7"/>
    <w:rsid w:val="00A21155"/>
    <w:rsid w:val="00A21D26"/>
    <w:rsid w:val="00A279FB"/>
    <w:rsid w:val="00A3161F"/>
    <w:rsid w:val="00A31E4B"/>
    <w:rsid w:val="00A33B84"/>
    <w:rsid w:val="00A352CF"/>
    <w:rsid w:val="00A361F5"/>
    <w:rsid w:val="00A36EA5"/>
    <w:rsid w:val="00A37D3A"/>
    <w:rsid w:val="00A41819"/>
    <w:rsid w:val="00A4331E"/>
    <w:rsid w:val="00A43F7B"/>
    <w:rsid w:val="00A45729"/>
    <w:rsid w:val="00A50458"/>
    <w:rsid w:val="00A5176F"/>
    <w:rsid w:val="00A526EE"/>
    <w:rsid w:val="00A52760"/>
    <w:rsid w:val="00A52CDC"/>
    <w:rsid w:val="00A55EB2"/>
    <w:rsid w:val="00A56937"/>
    <w:rsid w:val="00A628F3"/>
    <w:rsid w:val="00A635BC"/>
    <w:rsid w:val="00A63A68"/>
    <w:rsid w:val="00A63AC5"/>
    <w:rsid w:val="00A644D1"/>
    <w:rsid w:val="00A65FCC"/>
    <w:rsid w:val="00A6608C"/>
    <w:rsid w:val="00A67606"/>
    <w:rsid w:val="00A676A5"/>
    <w:rsid w:val="00A73ABB"/>
    <w:rsid w:val="00A74CD2"/>
    <w:rsid w:val="00A757B4"/>
    <w:rsid w:val="00A76257"/>
    <w:rsid w:val="00A76D54"/>
    <w:rsid w:val="00A7703C"/>
    <w:rsid w:val="00A8088A"/>
    <w:rsid w:val="00A81283"/>
    <w:rsid w:val="00A822DC"/>
    <w:rsid w:val="00A82FB7"/>
    <w:rsid w:val="00A835B3"/>
    <w:rsid w:val="00A83EFD"/>
    <w:rsid w:val="00A84D28"/>
    <w:rsid w:val="00A8506B"/>
    <w:rsid w:val="00A85BA5"/>
    <w:rsid w:val="00A8609F"/>
    <w:rsid w:val="00A865B3"/>
    <w:rsid w:val="00A87C22"/>
    <w:rsid w:val="00A90C73"/>
    <w:rsid w:val="00A90ECB"/>
    <w:rsid w:val="00A92D7A"/>
    <w:rsid w:val="00A930D2"/>
    <w:rsid w:val="00A967B3"/>
    <w:rsid w:val="00A97387"/>
    <w:rsid w:val="00A97684"/>
    <w:rsid w:val="00AA19E2"/>
    <w:rsid w:val="00AA1FC2"/>
    <w:rsid w:val="00AA5D55"/>
    <w:rsid w:val="00AB012B"/>
    <w:rsid w:val="00AB01B5"/>
    <w:rsid w:val="00AB05C0"/>
    <w:rsid w:val="00AB1C7D"/>
    <w:rsid w:val="00AB7021"/>
    <w:rsid w:val="00AB722A"/>
    <w:rsid w:val="00AC0084"/>
    <w:rsid w:val="00AC0795"/>
    <w:rsid w:val="00AC3DAC"/>
    <w:rsid w:val="00AC5A1F"/>
    <w:rsid w:val="00AC6FE9"/>
    <w:rsid w:val="00AC742E"/>
    <w:rsid w:val="00AC79AB"/>
    <w:rsid w:val="00AD02B6"/>
    <w:rsid w:val="00AD0E9E"/>
    <w:rsid w:val="00AD1EF1"/>
    <w:rsid w:val="00AD2823"/>
    <w:rsid w:val="00AD2DCD"/>
    <w:rsid w:val="00AD61CC"/>
    <w:rsid w:val="00AD7D41"/>
    <w:rsid w:val="00AE15C9"/>
    <w:rsid w:val="00AE21F4"/>
    <w:rsid w:val="00AE262B"/>
    <w:rsid w:val="00AE3679"/>
    <w:rsid w:val="00AE38EF"/>
    <w:rsid w:val="00AE6A4F"/>
    <w:rsid w:val="00AE7CFE"/>
    <w:rsid w:val="00AE7E01"/>
    <w:rsid w:val="00AF0311"/>
    <w:rsid w:val="00AF0835"/>
    <w:rsid w:val="00AF0C46"/>
    <w:rsid w:val="00AF5B86"/>
    <w:rsid w:val="00AF5E8C"/>
    <w:rsid w:val="00AF6CDE"/>
    <w:rsid w:val="00AF744A"/>
    <w:rsid w:val="00AF7C16"/>
    <w:rsid w:val="00AF7CDF"/>
    <w:rsid w:val="00AF7D1C"/>
    <w:rsid w:val="00B00F21"/>
    <w:rsid w:val="00B01AFC"/>
    <w:rsid w:val="00B01B9D"/>
    <w:rsid w:val="00B01BFB"/>
    <w:rsid w:val="00B02026"/>
    <w:rsid w:val="00B0263A"/>
    <w:rsid w:val="00B03017"/>
    <w:rsid w:val="00B03D9B"/>
    <w:rsid w:val="00B04B89"/>
    <w:rsid w:val="00B04F5F"/>
    <w:rsid w:val="00B05B98"/>
    <w:rsid w:val="00B07FD4"/>
    <w:rsid w:val="00B10FF0"/>
    <w:rsid w:val="00B1144F"/>
    <w:rsid w:val="00B11DEF"/>
    <w:rsid w:val="00B14E7C"/>
    <w:rsid w:val="00B17D61"/>
    <w:rsid w:val="00B20247"/>
    <w:rsid w:val="00B203D6"/>
    <w:rsid w:val="00B22D3A"/>
    <w:rsid w:val="00B23770"/>
    <w:rsid w:val="00B23BC4"/>
    <w:rsid w:val="00B2731B"/>
    <w:rsid w:val="00B27ADE"/>
    <w:rsid w:val="00B27FC3"/>
    <w:rsid w:val="00B31DBB"/>
    <w:rsid w:val="00B31F2F"/>
    <w:rsid w:val="00B3289F"/>
    <w:rsid w:val="00B333E5"/>
    <w:rsid w:val="00B3353B"/>
    <w:rsid w:val="00B340E0"/>
    <w:rsid w:val="00B34310"/>
    <w:rsid w:val="00B360C3"/>
    <w:rsid w:val="00B36B02"/>
    <w:rsid w:val="00B37623"/>
    <w:rsid w:val="00B37887"/>
    <w:rsid w:val="00B4067E"/>
    <w:rsid w:val="00B424AA"/>
    <w:rsid w:val="00B44006"/>
    <w:rsid w:val="00B44F15"/>
    <w:rsid w:val="00B46CA9"/>
    <w:rsid w:val="00B50CE1"/>
    <w:rsid w:val="00B52C9D"/>
    <w:rsid w:val="00B56180"/>
    <w:rsid w:val="00B566DF"/>
    <w:rsid w:val="00B57673"/>
    <w:rsid w:val="00B578FC"/>
    <w:rsid w:val="00B60489"/>
    <w:rsid w:val="00B609BA"/>
    <w:rsid w:val="00B61703"/>
    <w:rsid w:val="00B61C2A"/>
    <w:rsid w:val="00B62E40"/>
    <w:rsid w:val="00B663BE"/>
    <w:rsid w:val="00B71E65"/>
    <w:rsid w:val="00B72615"/>
    <w:rsid w:val="00B769E0"/>
    <w:rsid w:val="00B775DA"/>
    <w:rsid w:val="00B80713"/>
    <w:rsid w:val="00B81991"/>
    <w:rsid w:val="00B835B7"/>
    <w:rsid w:val="00B84FE1"/>
    <w:rsid w:val="00B86C64"/>
    <w:rsid w:val="00B9119E"/>
    <w:rsid w:val="00B9152A"/>
    <w:rsid w:val="00B93599"/>
    <w:rsid w:val="00B94285"/>
    <w:rsid w:val="00B96CE4"/>
    <w:rsid w:val="00B9760C"/>
    <w:rsid w:val="00B97717"/>
    <w:rsid w:val="00BA0494"/>
    <w:rsid w:val="00BA0573"/>
    <w:rsid w:val="00BA14DC"/>
    <w:rsid w:val="00BA24D1"/>
    <w:rsid w:val="00BA25AE"/>
    <w:rsid w:val="00BA2E0C"/>
    <w:rsid w:val="00BA2F60"/>
    <w:rsid w:val="00BA441A"/>
    <w:rsid w:val="00BA4629"/>
    <w:rsid w:val="00BA488C"/>
    <w:rsid w:val="00BA56BD"/>
    <w:rsid w:val="00BA790F"/>
    <w:rsid w:val="00BB0B99"/>
    <w:rsid w:val="00BB19A1"/>
    <w:rsid w:val="00BB27B5"/>
    <w:rsid w:val="00BB2D7D"/>
    <w:rsid w:val="00BB42F2"/>
    <w:rsid w:val="00BB4D17"/>
    <w:rsid w:val="00BB5D32"/>
    <w:rsid w:val="00BB6340"/>
    <w:rsid w:val="00BB7509"/>
    <w:rsid w:val="00BB796B"/>
    <w:rsid w:val="00BB7E04"/>
    <w:rsid w:val="00BC0095"/>
    <w:rsid w:val="00BC066B"/>
    <w:rsid w:val="00BC2399"/>
    <w:rsid w:val="00BC6779"/>
    <w:rsid w:val="00BC72E9"/>
    <w:rsid w:val="00BD306D"/>
    <w:rsid w:val="00BD553E"/>
    <w:rsid w:val="00BD557A"/>
    <w:rsid w:val="00BD62D7"/>
    <w:rsid w:val="00BD6B88"/>
    <w:rsid w:val="00BD7A06"/>
    <w:rsid w:val="00BE0DAE"/>
    <w:rsid w:val="00BE1722"/>
    <w:rsid w:val="00BE48FE"/>
    <w:rsid w:val="00BE5E3C"/>
    <w:rsid w:val="00BE6197"/>
    <w:rsid w:val="00BF156E"/>
    <w:rsid w:val="00BF1F2D"/>
    <w:rsid w:val="00BF2D85"/>
    <w:rsid w:val="00BF3D62"/>
    <w:rsid w:val="00BF3FF0"/>
    <w:rsid w:val="00BF4174"/>
    <w:rsid w:val="00BF4236"/>
    <w:rsid w:val="00BF6EC6"/>
    <w:rsid w:val="00BF7E02"/>
    <w:rsid w:val="00C003DB"/>
    <w:rsid w:val="00C00702"/>
    <w:rsid w:val="00C012DC"/>
    <w:rsid w:val="00C02AEF"/>
    <w:rsid w:val="00C040E4"/>
    <w:rsid w:val="00C05080"/>
    <w:rsid w:val="00C056BB"/>
    <w:rsid w:val="00C05DF2"/>
    <w:rsid w:val="00C064FA"/>
    <w:rsid w:val="00C06894"/>
    <w:rsid w:val="00C075D0"/>
    <w:rsid w:val="00C07844"/>
    <w:rsid w:val="00C11412"/>
    <w:rsid w:val="00C14324"/>
    <w:rsid w:val="00C14810"/>
    <w:rsid w:val="00C15DE8"/>
    <w:rsid w:val="00C165DE"/>
    <w:rsid w:val="00C17044"/>
    <w:rsid w:val="00C1790C"/>
    <w:rsid w:val="00C22A44"/>
    <w:rsid w:val="00C25C76"/>
    <w:rsid w:val="00C309E7"/>
    <w:rsid w:val="00C30D5F"/>
    <w:rsid w:val="00C316C1"/>
    <w:rsid w:val="00C3231E"/>
    <w:rsid w:val="00C336EC"/>
    <w:rsid w:val="00C359FC"/>
    <w:rsid w:val="00C3678E"/>
    <w:rsid w:val="00C4017C"/>
    <w:rsid w:val="00C40705"/>
    <w:rsid w:val="00C42992"/>
    <w:rsid w:val="00C42AC1"/>
    <w:rsid w:val="00C444C8"/>
    <w:rsid w:val="00C44950"/>
    <w:rsid w:val="00C449FB"/>
    <w:rsid w:val="00C44BFD"/>
    <w:rsid w:val="00C45182"/>
    <w:rsid w:val="00C4523B"/>
    <w:rsid w:val="00C514D6"/>
    <w:rsid w:val="00C51512"/>
    <w:rsid w:val="00C5209B"/>
    <w:rsid w:val="00C524EA"/>
    <w:rsid w:val="00C52795"/>
    <w:rsid w:val="00C52A6F"/>
    <w:rsid w:val="00C544A2"/>
    <w:rsid w:val="00C55F40"/>
    <w:rsid w:val="00C6057B"/>
    <w:rsid w:val="00C60BA6"/>
    <w:rsid w:val="00C62AD4"/>
    <w:rsid w:val="00C72200"/>
    <w:rsid w:val="00C73C3C"/>
    <w:rsid w:val="00C74B89"/>
    <w:rsid w:val="00C74E1A"/>
    <w:rsid w:val="00C75446"/>
    <w:rsid w:val="00C76557"/>
    <w:rsid w:val="00C8136A"/>
    <w:rsid w:val="00C829C1"/>
    <w:rsid w:val="00C83696"/>
    <w:rsid w:val="00C84D41"/>
    <w:rsid w:val="00C85C16"/>
    <w:rsid w:val="00C85E65"/>
    <w:rsid w:val="00C85F7A"/>
    <w:rsid w:val="00C91032"/>
    <w:rsid w:val="00C92CB2"/>
    <w:rsid w:val="00C95205"/>
    <w:rsid w:val="00C9690B"/>
    <w:rsid w:val="00C96ED3"/>
    <w:rsid w:val="00C979E3"/>
    <w:rsid w:val="00CA024B"/>
    <w:rsid w:val="00CA05D4"/>
    <w:rsid w:val="00CA076A"/>
    <w:rsid w:val="00CA1B9D"/>
    <w:rsid w:val="00CA2840"/>
    <w:rsid w:val="00CA2A0A"/>
    <w:rsid w:val="00CA31B8"/>
    <w:rsid w:val="00CA3F78"/>
    <w:rsid w:val="00CA57B7"/>
    <w:rsid w:val="00CA5C91"/>
    <w:rsid w:val="00CA60DE"/>
    <w:rsid w:val="00CA7A2F"/>
    <w:rsid w:val="00CB01F9"/>
    <w:rsid w:val="00CB07E3"/>
    <w:rsid w:val="00CB1B57"/>
    <w:rsid w:val="00CB21C0"/>
    <w:rsid w:val="00CB3E81"/>
    <w:rsid w:val="00CB42CD"/>
    <w:rsid w:val="00CB43CE"/>
    <w:rsid w:val="00CB45D1"/>
    <w:rsid w:val="00CB4AE3"/>
    <w:rsid w:val="00CB72C8"/>
    <w:rsid w:val="00CB77B0"/>
    <w:rsid w:val="00CB7BD4"/>
    <w:rsid w:val="00CC23DD"/>
    <w:rsid w:val="00CC28CB"/>
    <w:rsid w:val="00CC2DF7"/>
    <w:rsid w:val="00CC60B6"/>
    <w:rsid w:val="00CC6F66"/>
    <w:rsid w:val="00CC776B"/>
    <w:rsid w:val="00CD0036"/>
    <w:rsid w:val="00CD1375"/>
    <w:rsid w:val="00CD2837"/>
    <w:rsid w:val="00CD3EF3"/>
    <w:rsid w:val="00CD4D35"/>
    <w:rsid w:val="00CD514D"/>
    <w:rsid w:val="00CD520A"/>
    <w:rsid w:val="00CD78AA"/>
    <w:rsid w:val="00CE0F2B"/>
    <w:rsid w:val="00CE3F86"/>
    <w:rsid w:val="00CE5D66"/>
    <w:rsid w:val="00CE6337"/>
    <w:rsid w:val="00CE6655"/>
    <w:rsid w:val="00CE78B5"/>
    <w:rsid w:val="00CF1839"/>
    <w:rsid w:val="00CF3096"/>
    <w:rsid w:val="00CF3915"/>
    <w:rsid w:val="00CF5309"/>
    <w:rsid w:val="00D001CA"/>
    <w:rsid w:val="00D00662"/>
    <w:rsid w:val="00D006FC"/>
    <w:rsid w:val="00D04EA6"/>
    <w:rsid w:val="00D05928"/>
    <w:rsid w:val="00D07477"/>
    <w:rsid w:val="00D11F72"/>
    <w:rsid w:val="00D1204E"/>
    <w:rsid w:val="00D1474F"/>
    <w:rsid w:val="00D14A55"/>
    <w:rsid w:val="00D14DE8"/>
    <w:rsid w:val="00D14EF3"/>
    <w:rsid w:val="00D20935"/>
    <w:rsid w:val="00D21B41"/>
    <w:rsid w:val="00D25B37"/>
    <w:rsid w:val="00D26A22"/>
    <w:rsid w:val="00D26C55"/>
    <w:rsid w:val="00D306C8"/>
    <w:rsid w:val="00D321A4"/>
    <w:rsid w:val="00D337E1"/>
    <w:rsid w:val="00D37455"/>
    <w:rsid w:val="00D37DC8"/>
    <w:rsid w:val="00D40263"/>
    <w:rsid w:val="00D40413"/>
    <w:rsid w:val="00D40BD1"/>
    <w:rsid w:val="00D42D59"/>
    <w:rsid w:val="00D473F2"/>
    <w:rsid w:val="00D47ED9"/>
    <w:rsid w:val="00D50164"/>
    <w:rsid w:val="00D51E5B"/>
    <w:rsid w:val="00D532EE"/>
    <w:rsid w:val="00D53E19"/>
    <w:rsid w:val="00D55457"/>
    <w:rsid w:val="00D601D5"/>
    <w:rsid w:val="00D60597"/>
    <w:rsid w:val="00D619F2"/>
    <w:rsid w:val="00D62791"/>
    <w:rsid w:val="00D6339A"/>
    <w:rsid w:val="00D6340D"/>
    <w:rsid w:val="00D638B3"/>
    <w:rsid w:val="00D642A4"/>
    <w:rsid w:val="00D669EA"/>
    <w:rsid w:val="00D734C8"/>
    <w:rsid w:val="00D73BA4"/>
    <w:rsid w:val="00D74EC7"/>
    <w:rsid w:val="00D809DB"/>
    <w:rsid w:val="00D8141B"/>
    <w:rsid w:val="00D81F14"/>
    <w:rsid w:val="00D82A2D"/>
    <w:rsid w:val="00D84401"/>
    <w:rsid w:val="00D919D9"/>
    <w:rsid w:val="00D929C6"/>
    <w:rsid w:val="00D944E0"/>
    <w:rsid w:val="00D94894"/>
    <w:rsid w:val="00D958AB"/>
    <w:rsid w:val="00D9658A"/>
    <w:rsid w:val="00D974BD"/>
    <w:rsid w:val="00D97CCE"/>
    <w:rsid w:val="00D97D1B"/>
    <w:rsid w:val="00D97F81"/>
    <w:rsid w:val="00DA0A82"/>
    <w:rsid w:val="00DA0BC6"/>
    <w:rsid w:val="00DA131C"/>
    <w:rsid w:val="00DA1BCC"/>
    <w:rsid w:val="00DA223E"/>
    <w:rsid w:val="00DA3D94"/>
    <w:rsid w:val="00DA48D8"/>
    <w:rsid w:val="00DA5E9A"/>
    <w:rsid w:val="00DA6069"/>
    <w:rsid w:val="00DA678E"/>
    <w:rsid w:val="00DA70C1"/>
    <w:rsid w:val="00DA7FD1"/>
    <w:rsid w:val="00DB1327"/>
    <w:rsid w:val="00DB26E3"/>
    <w:rsid w:val="00DB29DC"/>
    <w:rsid w:val="00DB6DFA"/>
    <w:rsid w:val="00DB6EEB"/>
    <w:rsid w:val="00DC2691"/>
    <w:rsid w:val="00DC294E"/>
    <w:rsid w:val="00DC4D40"/>
    <w:rsid w:val="00DC60E1"/>
    <w:rsid w:val="00DC6892"/>
    <w:rsid w:val="00DC6D06"/>
    <w:rsid w:val="00DC7019"/>
    <w:rsid w:val="00DC7337"/>
    <w:rsid w:val="00DD158D"/>
    <w:rsid w:val="00DD18F4"/>
    <w:rsid w:val="00DD1B90"/>
    <w:rsid w:val="00DD315E"/>
    <w:rsid w:val="00DD402E"/>
    <w:rsid w:val="00DD4CDA"/>
    <w:rsid w:val="00DD54EE"/>
    <w:rsid w:val="00DD5BDD"/>
    <w:rsid w:val="00DD6D66"/>
    <w:rsid w:val="00DD6EC1"/>
    <w:rsid w:val="00DD6EF6"/>
    <w:rsid w:val="00DD7356"/>
    <w:rsid w:val="00DD7B82"/>
    <w:rsid w:val="00DE09EA"/>
    <w:rsid w:val="00DE0B0A"/>
    <w:rsid w:val="00DE2BCF"/>
    <w:rsid w:val="00DE338E"/>
    <w:rsid w:val="00DE3BF4"/>
    <w:rsid w:val="00DE460D"/>
    <w:rsid w:val="00DE60B6"/>
    <w:rsid w:val="00DE687D"/>
    <w:rsid w:val="00DE70BE"/>
    <w:rsid w:val="00DE7229"/>
    <w:rsid w:val="00DE73F3"/>
    <w:rsid w:val="00DE74EA"/>
    <w:rsid w:val="00DF0754"/>
    <w:rsid w:val="00DF0DA7"/>
    <w:rsid w:val="00DF1364"/>
    <w:rsid w:val="00DF17E6"/>
    <w:rsid w:val="00DF3074"/>
    <w:rsid w:val="00DF78D9"/>
    <w:rsid w:val="00E006F9"/>
    <w:rsid w:val="00E00BF8"/>
    <w:rsid w:val="00E028E2"/>
    <w:rsid w:val="00E04D1C"/>
    <w:rsid w:val="00E06D57"/>
    <w:rsid w:val="00E129ED"/>
    <w:rsid w:val="00E1339C"/>
    <w:rsid w:val="00E13624"/>
    <w:rsid w:val="00E16976"/>
    <w:rsid w:val="00E202E5"/>
    <w:rsid w:val="00E23957"/>
    <w:rsid w:val="00E23991"/>
    <w:rsid w:val="00E251C6"/>
    <w:rsid w:val="00E2583D"/>
    <w:rsid w:val="00E26541"/>
    <w:rsid w:val="00E27802"/>
    <w:rsid w:val="00E308FF"/>
    <w:rsid w:val="00E30EAF"/>
    <w:rsid w:val="00E313F4"/>
    <w:rsid w:val="00E315F1"/>
    <w:rsid w:val="00E31AA2"/>
    <w:rsid w:val="00E31AA5"/>
    <w:rsid w:val="00E322F5"/>
    <w:rsid w:val="00E3254E"/>
    <w:rsid w:val="00E33E8D"/>
    <w:rsid w:val="00E34442"/>
    <w:rsid w:val="00E35120"/>
    <w:rsid w:val="00E35EB5"/>
    <w:rsid w:val="00E3614F"/>
    <w:rsid w:val="00E36CDE"/>
    <w:rsid w:val="00E3756E"/>
    <w:rsid w:val="00E41362"/>
    <w:rsid w:val="00E4179F"/>
    <w:rsid w:val="00E42791"/>
    <w:rsid w:val="00E4416E"/>
    <w:rsid w:val="00E44F4E"/>
    <w:rsid w:val="00E45793"/>
    <w:rsid w:val="00E46472"/>
    <w:rsid w:val="00E501AD"/>
    <w:rsid w:val="00E510C9"/>
    <w:rsid w:val="00E5145C"/>
    <w:rsid w:val="00E53D8B"/>
    <w:rsid w:val="00E5520D"/>
    <w:rsid w:val="00E55BF7"/>
    <w:rsid w:val="00E56EE9"/>
    <w:rsid w:val="00E600BF"/>
    <w:rsid w:val="00E60F97"/>
    <w:rsid w:val="00E619DD"/>
    <w:rsid w:val="00E63803"/>
    <w:rsid w:val="00E63A6D"/>
    <w:rsid w:val="00E63FC6"/>
    <w:rsid w:val="00E64020"/>
    <w:rsid w:val="00E6431D"/>
    <w:rsid w:val="00E67B5E"/>
    <w:rsid w:val="00E70547"/>
    <w:rsid w:val="00E70F1E"/>
    <w:rsid w:val="00E70FF4"/>
    <w:rsid w:val="00E7406A"/>
    <w:rsid w:val="00E74370"/>
    <w:rsid w:val="00E768A3"/>
    <w:rsid w:val="00E76AE6"/>
    <w:rsid w:val="00E824E1"/>
    <w:rsid w:val="00E829ED"/>
    <w:rsid w:val="00E83A94"/>
    <w:rsid w:val="00E8507E"/>
    <w:rsid w:val="00E91D63"/>
    <w:rsid w:val="00E931D9"/>
    <w:rsid w:val="00E9336C"/>
    <w:rsid w:val="00E95A02"/>
    <w:rsid w:val="00E96023"/>
    <w:rsid w:val="00E96B1C"/>
    <w:rsid w:val="00EA06AA"/>
    <w:rsid w:val="00EA0744"/>
    <w:rsid w:val="00EA0AD0"/>
    <w:rsid w:val="00EA1FFB"/>
    <w:rsid w:val="00EA209F"/>
    <w:rsid w:val="00EA23CD"/>
    <w:rsid w:val="00EA37EE"/>
    <w:rsid w:val="00EA5795"/>
    <w:rsid w:val="00EA5BAB"/>
    <w:rsid w:val="00EA7788"/>
    <w:rsid w:val="00EA7964"/>
    <w:rsid w:val="00EB1B6C"/>
    <w:rsid w:val="00EB1CB6"/>
    <w:rsid w:val="00EB1CDC"/>
    <w:rsid w:val="00EB66E8"/>
    <w:rsid w:val="00EB6C8E"/>
    <w:rsid w:val="00EC0509"/>
    <w:rsid w:val="00EC10C3"/>
    <w:rsid w:val="00EC297B"/>
    <w:rsid w:val="00EC2A9B"/>
    <w:rsid w:val="00EC319D"/>
    <w:rsid w:val="00EC3CCF"/>
    <w:rsid w:val="00ED068E"/>
    <w:rsid w:val="00ED1EFC"/>
    <w:rsid w:val="00ED2032"/>
    <w:rsid w:val="00ED276F"/>
    <w:rsid w:val="00ED594D"/>
    <w:rsid w:val="00ED6656"/>
    <w:rsid w:val="00ED69DB"/>
    <w:rsid w:val="00ED727F"/>
    <w:rsid w:val="00EE09CF"/>
    <w:rsid w:val="00EE0B3B"/>
    <w:rsid w:val="00EE0F56"/>
    <w:rsid w:val="00EE263A"/>
    <w:rsid w:val="00EE2920"/>
    <w:rsid w:val="00EE5F6F"/>
    <w:rsid w:val="00EE622D"/>
    <w:rsid w:val="00EE6403"/>
    <w:rsid w:val="00EE73F8"/>
    <w:rsid w:val="00EF1998"/>
    <w:rsid w:val="00EF1DF1"/>
    <w:rsid w:val="00EF2467"/>
    <w:rsid w:val="00EF2B68"/>
    <w:rsid w:val="00EF4D2C"/>
    <w:rsid w:val="00F002EC"/>
    <w:rsid w:val="00F0100C"/>
    <w:rsid w:val="00F0117D"/>
    <w:rsid w:val="00F01661"/>
    <w:rsid w:val="00F017EE"/>
    <w:rsid w:val="00F056D0"/>
    <w:rsid w:val="00F06D47"/>
    <w:rsid w:val="00F11E3A"/>
    <w:rsid w:val="00F132E1"/>
    <w:rsid w:val="00F13D50"/>
    <w:rsid w:val="00F13D52"/>
    <w:rsid w:val="00F1553C"/>
    <w:rsid w:val="00F17836"/>
    <w:rsid w:val="00F20F75"/>
    <w:rsid w:val="00F2150E"/>
    <w:rsid w:val="00F21773"/>
    <w:rsid w:val="00F22C10"/>
    <w:rsid w:val="00F2350A"/>
    <w:rsid w:val="00F23B7A"/>
    <w:rsid w:val="00F2451C"/>
    <w:rsid w:val="00F247FE"/>
    <w:rsid w:val="00F27787"/>
    <w:rsid w:val="00F30A87"/>
    <w:rsid w:val="00F30C41"/>
    <w:rsid w:val="00F31AF8"/>
    <w:rsid w:val="00F32266"/>
    <w:rsid w:val="00F32DE4"/>
    <w:rsid w:val="00F33A9D"/>
    <w:rsid w:val="00F36866"/>
    <w:rsid w:val="00F37847"/>
    <w:rsid w:val="00F41BE6"/>
    <w:rsid w:val="00F42D8C"/>
    <w:rsid w:val="00F4390A"/>
    <w:rsid w:val="00F44A60"/>
    <w:rsid w:val="00F469AD"/>
    <w:rsid w:val="00F47096"/>
    <w:rsid w:val="00F47B8A"/>
    <w:rsid w:val="00F51468"/>
    <w:rsid w:val="00F51AAF"/>
    <w:rsid w:val="00F53685"/>
    <w:rsid w:val="00F53FAE"/>
    <w:rsid w:val="00F55C32"/>
    <w:rsid w:val="00F55FD7"/>
    <w:rsid w:val="00F56106"/>
    <w:rsid w:val="00F56DFC"/>
    <w:rsid w:val="00F625B4"/>
    <w:rsid w:val="00F6341E"/>
    <w:rsid w:val="00F63609"/>
    <w:rsid w:val="00F637AB"/>
    <w:rsid w:val="00F64A4A"/>
    <w:rsid w:val="00F65785"/>
    <w:rsid w:val="00F65932"/>
    <w:rsid w:val="00F65D17"/>
    <w:rsid w:val="00F67BAE"/>
    <w:rsid w:val="00F70402"/>
    <w:rsid w:val="00F70F22"/>
    <w:rsid w:val="00F71510"/>
    <w:rsid w:val="00F7178D"/>
    <w:rsid w:val="00F718F3"/>
    <w:rsid w:val="00F730D5"/>
    <w:rsid w:val="00F7576C"/>
    <w:rsid w:val="00F76D07"/>
    <w:rsid w:val="00F77164"/>
    <w:rsid w:val="00F77477"/>
    <w:rsid w:val="00F82A79"/>
    <w:rsid w:val="00F82EA6"/>
    <w:rsid w:val="00F83C4C"/>
    <w:rsid w:val="00F8541C"/>
    <w:rsid w:val="00F85BE0"/>
    <w:rsid w:val="00F85F9A"/>
    <w:rsid w:val="00F86608"/>
    <w:rsid w:val="00F869D1"/>
    <w:rsid w:val="00F86DA4"/>
    <w:rsid w:val="00F86F09"/>
    <w:rsid w:val="00F875D6"/>
    <w:rsid w:val="00F87C2D"/>
    <w:rsid w:val="00F91A4C"/>
    <w:rsid w:val="00F9260A"/>
    <w:rsid w:val="00F938E8"/>
    <w:rsid w:val="00F93BF4"/>
    <w:rsid w:val="00F95668"/>
    <w:rsid w:val="00F9583C"/>
    <w:rsid w:val="00F961CB"/>
    <w:rsid w:val="00F96CAC"/>
    <w:rsid w:val="00F96F4E"/>
    <w:rsid w:val="00F9725F"/>
    <w:rsid w:val="00F97479"/>
    <w:rsid w:val="00FA0E8D"/>
    <w:rsid w:val="00FA1CED"/>
    <w:rsid w:val="00FA35C4"/>
    <w:rsid w:val="00FA5647"/>
    <w:rsid w:val="00FA6E9F"/>
    <w:rsid w:val="00FA786E"/>
    <w:rsid w:val="00FB008C"/>
    <w:rsid w:val="00FB0220"/>
    <w:rsid w:val="00FB040B"/>
    <w:rsid w:val="00FB0949"/>
    <w:rsid w:val="00FB0C00"/>
    <w:rsid w:val="00FB269A"/>
    <w:rsid w:val="00FB3F48"/>
    <w:rsid w:val="00FB504A"/>
    <w:rsid w:val="00FB5791"/>
    <w:rsid w:val="00FB5DDA"/>
    <w:rsid w:val="00FB61C1"/>
    <w:rsid w:val="00FB738A"/>
    <w:rsid w:val="00FC1776"/>
    <w:rsid w:val="00FC3C24"/>
    <w:rsid w:val="00FC4DF2"/>
    <w:rsid w:val="00FC4F0E"/>
    <w:rsid w:val="00FC6E38"/>
    <w:rsid w:val="00FD1312"/>
    <w:rsid w:val="00FD1EE2"/>
    <w:rsid w:val="00FD2435"/>
    <w:rsid w:val="00FD3164"/>
    <w:rsid w:val="00FD491C"/>
    <w:rsid w:val="00FD51FC"/>
    <w:rsid w:val="00FD5D6E"/>
    <w:rsid w:val="00FD6B85"/>
    <w:rsid w:val="00FD7F2E"/>
    <w:rsid w:val="00FD7F99"/>
    <w:rsid w:val="00FE2897"/>
    <w:rsid w:val="00FE2EE7"/>
    <w:rsid w:val="00FE36C9"/>
    <w:rsid w:val="00FE5102"/>
    <w:rsid w:val="00FE56CB"/>
    <w:rsid w:val="00FE65FC"/>
    <w:rsid w:val="00FE6CBF"/>
    <w:rsid w:val="00FE6F69"/>
    <w:rsid w:val="00FE769A"/>
    <w:rsid w:val="00FE7771"/>
    <w:rsid w:val="00FF064C"/>
    <w:rsid w:val="00FF0A78"/>
    <w:rsid w:val="00FF0C10"/>
    <w:rsid w:val="00FF0E1C"/>
    <w:rsid w:val="00FF5C69"/>
    <w:rsid w:val="00FF68C5"/>
    <w:rsid w:val="00FF7976"/>
    <w:rsid w:val="00FF7DD3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A46CF"/>
  <w15:chartTrackingRefBased/>
  <w15:docId w15:val="{C4CB4C33-5715-412E-A546-22FB40CB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8B72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67BAE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31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E3F8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C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4DF2"/>
  </w:style>
  <w:style w:type="paragraph" w:styleId="Noga">
    <w:name w:val="footer"/>
    <w:basedOn w:val="Navaden"/>
    <w:link w:val="NogaZnak"/>
    <w:uiPriority w:val="99"/>
    <w:unhideWhenUsed/>
    <w:rsid w:val="00FC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4DF2"/>
  </w:style>
  <w:style w:type="paragraph" w:styleId="Telobesedila2">
    <w:name w:val="Body Text 2"/>
    <w:basedOn w:val="Navaden"/>
    <w:link w:val="Telobesedila2Znak"/>
    <w:semiHidden/>
    <w:rsid w:val="00532EC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lobesedila2Znak">
    <w:name w:val="Telo besedila 2 Znak"/>
    <w:basedOn w:val="Privzetapisavaodstavka"/>
    <w:link w:val="Telobesedila2"/>
    <w:semiHidden/>
    <w:rsid w:val="00532EC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Navadensplet">
    <w:name w:val="Normal (Web)"/>
    <w:basedOn w:val="Navaden"/>
    <w:uiPriority w:val="99"/>
    <w:unhideWhenUsed/>
    <w:rsid w:val="00EF199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619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619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619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619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619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196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32CD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B72D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onet.ljse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info@nam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m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3646D6-7C04-4490-BF22-0A87A899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4115</Words>
  <Characters>23457</Characters>
  <Application>Microsoft Office Word</Application>
  <DocSecurity>0</DocSecurity>
  <Lines>195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Sibila Čmrlec</dc:creator>
  <cp:keywords/>
  <dc:description/>
  <cp:lastModifiedBy>Sonja Sibila Čmrlec</cp:lastModifiedBy>
  <cp:revision>3</cp:revision>
  <cp:lastPrinted>2020-08-14T07:20:00Z</cp:lastPrinted>
  <dcterms:created xsi:type="dcterms:W3CDTF">2020-08-26T06:21:00Z</dcterms:created>
  <dcterms:modified xsi:type="dcterms:W3CDTF">2020-08-26T06:24:00Z</dcterms:modified>
</cp:coreProperties>
</file>