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8ECB" w14:textId="77777777" w:rsidR="006B6D9E" w:rsidRPr="00E74DB6" w:rsidRDefault="006B6D9E" w:rsidP="006B6D9E">
      <w:pPr>
        <w:pStyle w:val="NaslovTOC"/>
        <w:numPr>
          <w:ilvl w:val="0"/>
          <w:numId w:val="0"/>
        </w:numPr>
        <w:ind w:left="720" w:hanging="360"/>
        <w:rPr>
          <w:rFonts w:ascii="Open Sans" w:eastAsia="Times New Roman" w:hAnsi="Open Sans" w:cs="Open Sans"/>
          <w:color w:val="auto"/>
          <w:sz w:val="20"/>
          <w:szCs w:val="20"/>
        </w:rPr>
      </w:pPr>
      <w:r w:rsidRPr="00E74DB6">
        <w:rPr>
          <w:rFonts w:ascii="Open Sans" w:eastAsia="Times New Roman" w:hAnsi="Open Sans" w:cs="Open Sans"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DB04A0" wp14:editId="154D57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2625" cy="819150"/>
            <wp:effectExtent l="0" t="0" r="9525" b="0"/>
            <wp:wrapSquare wrapText="bothSides"/>
            <wp:docPr id="11" name="Slika 11" descr="Nama_dopisni-list_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ama_dopisni-list_gla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DCA2" w14:textId="77777777" w:rsidR="006B6D9E" w:rsidRPr="00E74DB6" w:rsidRDefault="006B6D9E" w:rsidP="006B6D9E">
      <w:pPr>
        <w:rPr>
          <w:rFonts w:ascii="Open Sans" w:hAnsi="Open Sans" w:cs="Open Sans"/>
        </w:rPr>
      </w:pPr>
    </w:p>
    <w:p w14:paraId="54F4195A" w14:textId="77777777" w:rsidR="006B6D9E" w:rsidRPr="00E74DB6" w:rsidRDefault="006B6D9E" w:rsidP="006B6D9E">
      <w:pPr>
        <w:rPr>
          <w:rFonts w:ascii="Open Sans" w:hAnsi="Open Sans" w:cs="Open Sans"/>
        </w:rPr>
      </w:pPr>
    </w:p>
    <w:p w14:paraId="337D7E1E" w14:textId="77777777" w:rsidR="006B6D9E" w:rsidRPr="00E74DB6" w:rsidRDefault="006B6D9E" w:rsidP="006B6D9E">
      <w:pPr>
        <w:pStyle w:val="NaslovTOC"/>
        <w:numPr>
          <w:ilvl w:val="0"/>
          <w:numId w:val="0"/>
        </w:numPr>
        <w:jc w:val="center"/>
        <w:rPr>
          <w:rFonts w:ascii="Open Sans" w:eastAsia="Times New Roman" w:hAnsi="Open Sans" w:cs="Open Sans"/>
          <w:color w:val="auto"/>
          <w:sz w:val="28"/>
          <w:szCs w:val="28"/>
        </w:rPr>
      </w:pPr>
    </w:p>
    <w:p w14:paraId="705C185E" w14:textId="77777777" w:rsidR="006B6D9E" w:rsidRPr="00E74DB6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28"/>
          <w:szCs w:val="28"/>
        </w:rPr>
      </w:pPr>
    </w:p>
    <w:p w14:paraId="181FB554" w14:textId="77777777" w:rsidR="006B6D9E" w:rsidRPr="00227BF4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52"/>
          <w:szCs w:val="52"/>
        </w:rPr>
      </w:pPr>
      <w:r w:rsidRPr="00227BF4">
        <w:rPr>
          <w:rFonts w:ascii="Open Sans" w:eastAsia="Times New Roman" w:hAnsi="Open Sans" w:cs="Open Sans"/>
          <w:color w:val="auto"/>
          <w:sz w:val="52"/>
          <w:szCs w:val="52"/>
        </w:rPr>
        <w:t xml:space="preserve">NEREVIDIRANO POROČILO O POSLOVANJU </w:t>
      </w:r>
    </w:p>
    <w:p w14:paraId="137C0FA4" w14:textId="77777777" w:rsidR="006B6D9E" w:rsidRPr="00E74DB6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28"/>
          <w:szCs w:val="28"/>
        </w:rPr>
      </w:pPr>
    </w:p>
    <w:p w14:paraId="1970BBEE" w14:textId="3CEA7DCE" w:rsidR="006B6D9E" w:rsidRPr="00227BF4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28"/>
          <w:szCs w:val="28"/>
        </w:rPr>
      </w:pPr>
      <w:r>
        <w:rPr>
          <w:rFonts w:ascii="Open Sans" w:eastAsia="Times New Roman" w:hAnsi="Open Sans" w:cs="Open Sans"/>
          <w:color w:val="auto"/>
          <w:sz w:val="28"/>
          <w:szCs w:val="28"/>
        </w:rPr>
        <w:t>DRUŽBE</w:t>
      </w:r>
      <w:r w:rsidRPr="00227BF4">
        <w:rPr>
          <w:rFonts w:ascii="Open Sans" w:eastAsia="Times New Roman" w:hAnsi="Open Sans" w:cs="Open Sans"/>
          <w:color w:val="auto"/>
          <w:sz w:val="28"/>
          <w:szCs w:val="28"/>
        </w:rPr>
        <w:t xml:space="preserve"> NAMA</w:t>
      </w:r>
      <w:r>
        <w:rPr>
          <w:rFonts w:ascii="Open Sans" w:eastAsia="Times New Roman" w:hAnsi="Open Sans" w:cs="Open Sans"/>
          <w:color w:val="auto"/>
          <w:sz w:val="28"/>
          <w:szCs w:val="28"/>
        </w:rPr>
        <w:t xml:space="preserve"> D.D.</w:t>
      </w:r>
      <w:r w:rsidRPr="00227BF4">
        <w:rPr>
          <w:rFonts w:ascii="Open Sans" w:eastAsia="Times New Roman" w:hAnsi="Open Sans" w:cs="Open Sans"/>
          <w:color w:val="auto"/>
          <w:sz w:val="28"/>
          <w:szCs w:val="28"/>
        </w:rPr>
        <w:t xml:space="preserve"> V PRVEM POLLETJU 2022</w:t>
      </w:r>
    </w:p>
    <w:p w14:paraId="14E65987" w14:textId="77777777" w:rsidR="006B6D9E" w:rsidRPr="00E74DB6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28"/>
          <w:szCs w:val="28"/>
        </w:rPr>
      </w:pPr>
    </w:p>
    <w:p w14:paraId="64054F21" w14:textId="77777777" w:rsidR="006B6D9E" w:rsidRPr="00E74DB6" w:rsidRDefault="006B6D9E" w:rsidP="006B6D9E">
      <w:pPr>
        <w:pStyle w:val="NaslovTOC"/>
        <w:numPr>
          <w:ilvl w:val="0"/>
          <w:numId w:val="0"/>
        </w:numPr>
        <w:jc w:val="right"/>
        <w:rPr>
          <w:rFonts w:ascii="Open Sans" w:eastAsia="Times New Roman" w:hAnsi="Open Sans" w:cs="Open Sans"/>
          <w:color w:val="auto"/>
          <w:sz w:val="28"/>
          <w:szCs w:val="28"/>
        </w:rPr>
      </w:pPr>
    </w:p>
    <w:p w14:paraId="3AB9A2F2" w14:textId="77777777" w:rsidR="006B6D9E" w:rsidRPr="00E74DB6" w:rsidRDefault="006B6D9E" w:rsidP="006B6D9E">
      <w:pPr>
        <w:pStyle w:val="Naslov1"/>
        <w:rPr>
          <w:rFonts w:cs="Open Sans"/>
          <w:b/>
        </w:rPr>
      </w:pPr>
    </w:p>
    <w:p w14:paraId="5BAA6469" w14:textId="77777777" w:rsidR="00215D35" w:rsidRDefault="00215D35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3AD60A17" w14:textId="77777777" w:rsidR="00B62E40" w:rsidRPr="00992E71" w:rsidRDefault="00536A5D" w:rsidP="008C33E9">
      <w:pPr>
        <w:pStyle w:val="Slog2"/>
      </w:pPr>
      <w:r w:rsidRPr="00992E71">
        <w:lastRenderedPageBreak/>
        <w:t>UVOD</w:t>
      </w:r>
    </w:p>
    <w:p w14:paraId="404DEEF2" w14:textId="0683D4E7" w:rsidR="009205E6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 podlagi Pravil Ljubljanske borze, Zakona o trgu finančnih instrumentov in druge veljavne zakono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daje družba </w:t>
      </w:r>
      <w:r w:rsidR="00A52CDC" w:rsidRPr="00992E71">
        <w:rPr>
          <w:rFonts w:ascii="Open Sans" w:hAnsi="Open Sans" w:cs="Open Sans"/>
          <w:sz w:val="20"/>
          <w:szCs w:val="20"/>
        </w:rPr>
        <w:t>NAMA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d.d.</w:t>
      </w:r>
      <w:r w:rsidR="00A52CDC" w:rsidRPr="00992E71">
        <w:rPr>
          <w:rFonts w:ascii="Open Sans" w:hAnsi="Open Sans" w:cs="Open Sans"/>
          <w:sz w:val="20"/>
          <w:szCs w:val="20"/>
        </w:rPr>
        <w:t xml:space="preserve">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objavlja N</w:t>
      </w:r>
      <w:r w:rsidRPr="00992E71">
        <w:rPr>
          <w:rFonts w:ascii="Open Sans" w:hAnsi="Open Sans" w:cs="Open Sans"/>
          <w:sz w:val="20"/>
          <w:szCs w:val="20"/>
        </w:rPr>
        <w:t xml:space="preserve">erevidirano </w:t>
      </w:r>
      <w:r w:rsidR="00C524EA" w:rsidRPr="00992E71">
        <w:rPr>
          <w:rFonts w:ascii="Open Sans" w:hAnsi="Open Sans" w:cs="Open Sans"/>
          <w:sz w:val="20"/>
          <w:szCs w:val="20"/>
        </w:rPr>
        <w:t>poročilo o poslovanju družbe</w:t>
      </w:r>
      <w:r w:rsidR="00C444C8" w:rsidRPr="00992E71">
        <w:rPr>
          <w:rFonts w:ascii="Open Sans" w:hAnsi="Open Sans" w:cs="Open Sans"/>
          <w:sz w:val="20"/>
          <w:szCs w:val="20"/>
        </w:rPr>
        <w:t xml:space="preserve"> NAMA d.d.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</w:t>
      </w:r>
      <w:r w:rsidR="00430822">
        <w:rPr>
          <w:rFonts w:ascii="Open Sans" w:hAnsi="Open Sans" w:cs="Open Sans"/>
          <w:sz w:val="20"/>
          <w:szCs w:val="20"/>
        </w:rPr>
        <w:t>v</w:t>
      </w:r>
      <w:r w:rsidR="00F02DE8">
        <w:rPr>
          <w:rFonts w:ascii="Open Sans" w:hAnsi="Open Sans" w:cs="Open Sans"/>
          <w:sz w:val="20"/>
          <w:szCs w:val="20"/>
        </w:rPr>
        <w:t xml:space="preserve"> </w:t>
      </w:r>
      <w:r w:rsidR="00430822">
        <w:rPr>
          <w:rFonts w:ascii="Open Sans" w:hAnsi="Open Sans" w:cs="Open Sans"/>
          <w:sz w:val="20"/>
          <w:szCs w:val="20"/>
        </w:rPr>
        <w:t xml:space="preserve">prvem polletju </w:t>
      </w:r>
      <w:r w:rsidR="0030138A">
        <w:rPr>
          <w:rFonts w:ascii="Open Sans" w:hAnsi="Open Sans" w:cs="Open Sans"/>
          <w:sz w:val="20"/>
          <w:szCs w:val="20"/>
        </w:rPr>
        <w:t>202</w:t>
      </w:r>
      <w:r w:rsidR="00845FED">
        <w:rPr>
          <w:rFonts w:ascii="Open Sans" w:hAnsi="Open Sans" w:cs="Open Sans"/>
          <w:sz w:val="20"/>
          <w:szCs w:val="20"/>
        </w:rPr>
        <w:t>2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08D4848C" w14:textId="4BE632EF" w:rsidR="00695A6E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Nerevidirano poročilo o poslovanju družbe</w:t>
      </w:r>
      <w:r w:rsidR="006B0024" w:rsidRPr="00992E71">
        <w:rPr>
          <w:rFonts w:ascii="Open Sans" w:hAnsi="Open Sans" w:cs="Open Sans"/>
          <w:sz w:val="20"/>
          <w:szCs w:val="20"/>
        </w:rPr>
        <w:t xml:space="preserve"> NAMA d.d. Ljubljana</w:t>
      </w:r>
      <w:r w:rsidR="00F02DE8">
        <w:rPr>
          <w:rFonts w:ascii="Open Sans" w:hAnsi="Open Sans" w:cs="Open Sans"/>
          <w:sz w:val="20"/>
          <w:szCs w:val="20"/>
        </w:rPr>
        <w:t xml:space="preserve"> </w:t>
      </w:r>
      <w:r w:rsidR="00430822">
        <w:rPr>
          <w:rFonts w:ascii="Open Sans" w:hAnsi="Open Sans" w:cs="Open Sans"/>
          <w:sz w:val="20"/>
          <w:szCs w:val="20"/>
        </w:rPr>
        <w:t xml:space="preserve">v prvem polletju </w:t>
      </w:r>
      <w:r w:rsidR="0030138A">
        <w:rPr>
          <w:rFonts w:ascii="Open Sans" w:hAnsi="Open Sans" w:cs="Open Sans"/>
          <w:sz w:val="20"/>
          <w:szCs w:val="20"/>
        </w:rPr>
        <w:t>202</w:t>
      </w:r>
      <w:r w:rsidR="00845FED">
        <w:rPr>
          <w:rFonts w:ascii="Open Sans" w:hAnsi="Open Sans" w:cs="Open Sans"/>
          <w:sz w:val="20"/>
          <w:szCs w:val="20"/>
        </w:rPr>
        <w:t>2</w:t>
      </w:r>
      <w:r w:rsidRPr="00992E71">
        <w:rPr>
          <w:rFonts w:ascii="Open Sans" w:hAnsi="Open Sans" w:cs="Open Sans"/>
          <w:sz w:val="20"/>
          <w:szCs w:val="20"/>
        </w:rPr>
        <w:t xml:space="preserve"> je dostopno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 na spletnih straneh Ljubljanske borze v sklopu sistema elektronskega obveščanja SEOnet (</w:t>
      </w:r>
      <w:hyperlink r:id="rId9" w:history="1">
        <w:r w:rsidR="00C524EA" w:rsidRPr="00992E71">
          <w:rPr>
            <w:rStyle w:val="Hiperpovezava"/>
            <w:rFonts w:ascii="Open Sans" w:hAnsi="Open Sans" w:cs="Open Sans"/>
            <w:sz w:val="20"/>
            <w:szCs w:val="20"/>
          </w:rPr>
          <w:t>http://seonet.ljse.si</w:t>
        </w:r>
      </w:hyperlink>
      <w:r w:rsidR="00C524EA" w:rsidRPr="00992E71">
        <w:rPr>
          <w:rFonts w:ascii="Open Sans" w:hAnsi="Open Sans" w:cs="Open Sans"/>
          <w:sz w:val="20"/>
          <w:szCs w:val="20"/>
        </w:rPr>
        <w:t>)</w:t>
      </w:r>
      <w:r w:rsidR="00FE56CB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5BED9F09" w14:textId="49629B89" w:rsidR="002A03A0" w:rsidRPr="00992E71" w:rsidRDefault="000E4664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</w:t>
      </w:r>
      <w:r w:rsidR="002A03A0" w:rsidRPr="00992E71">
        <w:rPr>
          <w:rFonts w:ascii="Open Sans" w:hAnsi="Open Sans" w:cs="Open Sans"/>
          <w:sz w:val="20"/>
          <w:szCs w:val="20"/>
        </w:rPr>
        <w:t xml:space="preserve">adzorni svet družbe </w:t>
      </w:r>
      <w:r w:rsidRPr="00992E71">
        <w:rPr>
          <w:rFonts w:ascii="Open Sans" w:hAnsi="Open Sans" w:cs="Open Sans"/>
          <w:sz w:val="20"/>
          <w:szCs w:val="20"/>
        </w:rPr>
        <w:t xml:space="preserve">je poročilo </w:t>
      </w:r>
      <w:r w:rsidR="002A03A0" w:rsidRPr="00992E71">
        <w:rPr>
          <w:rFonts w:ascii="Open Sans" w:hAnsi="Open Sans" w:cs="Open Sans"/>
          <w:sz w:val="20"/>
          <w:szCs w:val="20"/>
        </w:rPr>
        <w:t xml:space="preserve">obravnaval na redni seji </w:t>
      </w:r>
      <w:r w:rsidR="008C362A" w:rsidRPr="00215D35">
        <w:rPr>
          <w:rFonts w:ascii="Open Sans" w:hAnsi="Open Sans" w:cs="Open Sans"/>
          <w:sz w:val="20"/>
          <w:szCs w:val="20"/>
        </w:rPr>
        <w:t xml:space="preserve">dne </w:t>
      </w:r>
      <w:r w:rsidR="00845FED" w:rsidRPr="00215D35">
        <w:rPr>
          <w:rFonts w:ascii="Open Sans" w:hAnsi="Open Sans" w:cs="Open Sans"/>
          <w:sz w:val="20"/>
          <w:szCs w:val="20"/>
        </w:rPr>
        <w:t>15.9.2022.</w:t>
      </w:r>
    </w:p>
    <w:p w14:paraId="45FB149B" w14:textId="77777777" w:rsidR="009205E6" w:rsidRPr="00992E71" w:rsidRDefault="0012301F" w:rsidP="009205E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Vse p</w:t>
      </w:r>
      <w:r w:rsidR="009205E6" w:rsidRPr="00992E71">
        <w:rPr>
          <w:rFonts w:ascii="Open Sans" w:hAnsi="Open Sans" w:cs="Open Sans"/>
          <w:sz w:val="20"/>
          <w:szCs w:val="20"/>
        </w:rPr>
        <w:t>omembnejše spremembe podatkov, ki jih vsebuje prospekt za borzno kotacijo, družba NAMA d.d. Ljubljana objavlja v sistemu elektronskega obveščanja Ljubljanske borze SEOnet.</w:t>
      </w:r>
    </w:p>
    <w:p w14:paraId="4C524D35" w14:textId="77777777" w:rsidR="003926ED" w:rsidRPr="00992E71" w:rsidRDefault="003926ED" w:rsidP="009205E6">
      <w:pPr>
        <w:jc w:val="both"/>
        <w:rPr>
          <w:rFonts w:ascii="Open Sans" w:hAnsi="Open Sans" w:cs="Open Sans"/>
          <w:sz w:val="20"/>
          <w:szCs w:val="20"/>
        </w:rPr>
      </w:pPr>
    </w:p>
    <w:p w14:paraId="0C68CE5D" w14:textId="77777777" w:rsidR="00D26A22" w:rsidRPr="00992E71" w:rsidRDefault="001E53A7" w:rsidP="00A865B3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Osnovni podatki o družbi NAMA d.d. Ljubljana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861"/>
        <w:gridCol w:w="265"/>
        <w:gridCol w:w="5944"/>
      </w:tblGrid>
      <w:tr w:rsidR="00BB5D32" w:rsidRPr="00A9074E" w14:paraId="43D54FD8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BC16CAD" w14:textId="77777777" w:rsidR="00BB5D32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Naziv podjetja</w:t>
            </w:r>
            <w:r w:rsidR="00BB5D32" w:rsidRPr="00992E71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3672E6BD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710ABBD8" w14:textId="3FA540C1" w:rsidR="00BB5D32" w:rsidRPr="00CD1E00" w:rsidRDefault="00A01276" w:rsidP="006A0C4C">
            <w:pPr>
              <w:jc w:val="right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A01276">
              <w:rPr>
                <w:rFonts w:ascii="Open Sans" w:hAnsi="Open Sans" w:cs="Open Sans"/>
                <w:sz w:val="20"/>
                <w:szCs w:val="20"/>
              </w:rPr>
              <w:t>Nama, upravljanje z nepremičninami, d.d. Ljubljana</w:t>
            </w:r>
          </w:p>
        </w:tc>
      </w:tr>
      <w:tr w:rsidR="001905B1" w:rsidRPr="00992E71" w14:paraId="3F7151D2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64ED67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Skrajšan naziv podjetja: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5FF483C0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426F35D7" w14:textId="77777777" w:rsidR="001905B1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NAMA d.d. Ljubljana</w:t>
            </w:r>
          </w:p>
        </w:tc>
      </w:tr>
      <w:tr w:rsidR="00BB5D32" w:rsidRPr="00992E71" w14:paraId="2811858D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5CC18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Sedež: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76792285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202E3770" w14:textId="77777777" w:rsidR="00BB5D32" w:rsidRPr="00992E71" w:rsidRDefault="006A0C4C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Tomšičeva </w:t>
            </w:r>
            <w:r w:rsidR="008634BC" w:rsidRPr="00992E71">
              <w:rPr>
                <w:rFonts w:ascii="Open Sans" w:hAnsi="Open Sans" w:cs="Open Sans"/>
                <w:sz w:val="20"/>
                <w:szCs w:val="20"/>
              </w:rPr>
              <w:t xml:space="preserve">ulica </w:t>
            </w:r>
            <w:r w:rsidRPr="00992E71">
              <w:rPr>
                <w:rFonts w:ascii="Open Sans" w:hAnsi="Open Sans" w:cs="Open Sans"/>
                <w:sz w:val="20"/>
                <w:szCs w:val="20"/>
              </w:rPr>
              <w:t>1, Ljubljana</w:t>
            </w:r>
          </w:p>
        </w:tc>
      </w:tr>
      <w:tr w:rsidR="00D97D1B" w:rsidRPr="00992E71" w14:paraId="406A04D6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3D3F19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Spletna stran: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1FAA89DC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6C778659" w14:textId="77777777" w:rsidR="00D97D1B" w:rsidRPr="00992E71" w:rsidRDefault="00000000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10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www.nama.si</w:t>
              </w:r>
            </w:hyperlink>
          </w:p>
        </w:tc>
      </w:tr>
      <w:tr w:rsidR="00B04F5F" w:rsidRPr="00992E71" w14:paraId="2A24CF4D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E484D00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76BEC8DF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102D04FB" w14:textId="77777777" w:rsidR="00B04F5F" w:rsidRPr="00992E71" w:rsidRDefault="00000000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11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info@nama.si</w:t>
              </w:r>
            </w:hyperlink>
          </w:p>
        </w:tc>
      </w:tr>
      <w:tr w:rsidR="00BB5D32" w:rsidRPr="00992E71" w14:paraId="42505211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3186B3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Matična številka: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4409770A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3A2897B2" w14:textId="5778FECC" w:rsidR="00BB5D32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5024811</w:t>
            </w:r>
            <w:r w:rsidR="00A01276">
              <w:rPr>
                <w:rFonts w:ascii="Open Sans" w:hAnsi="Open Sans" w:cs="Open Sans"/>
                <w:sz w:val="20"/>
                <w:szCs w:val="20"/>
              </w:rPr>
              <w:t>000</w:t>
            </w:r>
          </w:p>
        </w:tc>
      </w:tr>
      <w:tr w:rsidR="00BB5D32" w:rsidRPr="00992E71" w14:paraId="4E618200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E693E2E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Davčna številka: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468322AF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2FD6615A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SI22348174</w:t>
            </w:r>
          </w:p>
        </w:tc>
      </w:tr>
      <w:tr w:rsidR="00BB5D32" w:rsidRPr="00992E71" w14:paraId="5EF50433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C51EB5" w14:textId="77777777" w:rsidR="00BB5D32" w:rsidRPr="00992E71" w:rsidRDefault="00AF7C16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Sodni register: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5E37BE0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1B81D5D5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Okrožno sodišče v Ljubljani, št. reg. vl. 1/00837/00</w:t>
            </w:r>
          </w:p>
        </w:tc>
      </w:tr>
      <w:tr w:rsidR="00206B47" w:rsidRPr="00992E71" w14:paraId="0960192A" w14:textId="77777777" w:rsidTr="00430822">
        <w:tc>
          <w:tcPr>
            <w:tcW w:w="157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AEFEBA" w14:textId="77777777" w:rsidR="00206B47" w:rsidRPr="00992E71" w:rsidRDefault="00EB1CDC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Transakcijski računi: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6C6F1C7B" w14:textId="77777777" w:rsidR="00206B47" w:rsidRPr="00992E71" w:rsidRDefault="00206B4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77" w:type="pct"/>
            <w:tcBorders>
              <w:left w:val="nil"/>
              <w:right w:val="nil"/>
            </w:tcBorders>
          </w:tcPr>
          <w:p w14:paraId="7DA47EB6" w14:textId="77777777" w:rsidR="00BF1F2D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NLB: SI56 0292 3001 4068 729</w:t>
            </w:r>
          </w:p>
          <w:p w14:paraId="2A9DF8D7" w14:textId="77777777" w:rsidR="00EB1CDC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SKB: SI56 0310 0100 0011 415</w:t>
            </w:r>
          </w:p>
        </w:tc>
      </w:tr>
    </w:tbl>
    <w:p w14:paraId="46B2178E" w14:textId="77777777" w:rsidR="008E6BE9" w:rsidRPr="00992E71" w:rsidRDefault="008E6BE9">
      <w:pPr>
        <w:rPr>
          <w:rFonts w:ascii="Open Sans" w:hAnsi="Open Sans" w:cs="Open Sans"/>
          <w:sz w:val="20"/>
          <w:szCs w:val="20"/>
        </w:rPr>
      </w:pPr>
    </w:p>
    <w:p w14:paraId="393E7E60" w14:textId="7A8D9024" w:rsidR="00BB5D32" w:rsidRPr="00992E71" w:rsidRDefault="00A83EFD" w:rsidP="00AD1E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Dejavnosti družbe, vpisane v sodni register</w:t>
      </w:r>
      <w:r w:rsidR="00A6760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so</w:t>
      </w:r>
      <w:r w:rsidR="00845FED">
        <w:rPr>
          <w:rFonts w:ascii="Open Sans" w:hAnsi="Open Sans" w:cs="Open Sans"/>
          <w:sz w:val="20"/>
          <w:szCs w:val="20"/>
        </w:rPr>
        <w:t xml:space="preserve"> </w:t>
      </w:r>
      <w:r w:rsidR="007D5CDC">
        <w:rPr>
          <w:rFonts w:ascii="Open Sans" w:hAnsi="Open Sans" w:cs="Open Sans"/>
          <w:sz w:val="20"/>
          <w:szCs w:val="20"/>
        </w:rPr>
        <w:t>oddajanje in obratovanje lastnih ali najetih nepremičnin, trgovanje z lastnimi nepremičninami in druge</w:t>
      </w:r>
      <w:r w:rsidRPr="00992E71">
        <w:rPr>
          <w:rFonts w:ascii="Open Sans" w:hAnsi="Open Sans" w:cs="Open Sans"/>
          <w:sz w:val="20"/>
          <w:szCs w:val="20"/>
        </w:rPr>
        <w:t xml:space="preserve"> storitvene dejavnosti.</w:t>
      </w:r>
    </w:p>
    <w:p w14:paraId="2D82EFE9" w14:textId="77777777" w:rsidR="001B2EC4" w:rsidRPr="00992E71" w:rsidRDefault="00F9725F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V skladu s 55. členom ZGD-1 se družba razvršča med velike družbe.  </w:t>
      </w:r>
    </w:p>
    <w:p w14:paraId="133A789E" w14:textId="77777777" w:rsidR="00EE2920" w:rsidRPr="00992E71" w:rsidRDefault="00EE2920">
      <w:pPr>
        <w:rPr>
          <w:rFonts w:ascii="Open Sans" w:hAnsi="Open Sans" w:cs="Open Sans"/>
          <w:sz w:val="20"/>
          <w:szCs w:val="20"/>
        </w:rPr>
      </w:pPr>
    </w:p>
    <w:p w14:paraId="4531F700" w14:textId="77777777" w:rsidR="0030460E" w:rsidRPr="00992E71" w:rsidRDefault="001537FA" w:rsidP="00C05080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Organi vodenja in nadzora</w:t>
      </w:r>
    </w:p>
    <w:p w14:paraId="28DD9E48" w14:textId="77777777" w:rsidR="00C979E3" w:rsidRPr="00992E71" w:rsidRDefault="00C979E3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Organi </w:t>
      </w:r>
      <w:r w:rsidR="00932753" w:rsidRPr="00992E71">
        <w:rPr>
          <w:rFonts w:ascii="Open Sans" w:hAnsi="Open Sans" w:cs="Open Sans"/>
          <w:sz w:val="20"/>
          <w:szCs w:val="20"/>
        </w:rPr>
        <w:t>vodenja in nadzora</w:t>
      </w:r>
      <w:r w:rsidRPr="00992E71">
        <w:rPr>
          <w:rFonts w:ascii="Open Sans" w:hAnsi="Open Sans" w:cs="Open Sans"/>
          <w:sz w:val="20"/>
          <w:szCs w:val="20"/>
        </w:rPr>
        <w:t xml:space="preserve"> družbe so </w:t>
      </w:r>
      <w:r w:rsidR="001E0C42" w:rsidRPr="00992E71">
        <w:rPr>
          <w:rFonts w:ascii="Open Sans" w:hAnsi="Open Sans" w:cs="Open Sans"/>
          <w:sz w:val="20"/>
          <w:szCs w:val="20"/>
        </w:rPr>
        <w:t>uprava, nadzorni svet in skupščina družbe.</w:t>
      </w:r>
    </w:p>
    <w:p w14:paraId="590DFD7B" w14:textId="77777777" w:rsidR="007679AC" w:rsidRPr="00992E71" w:rsidRDefault="007679AC" w:rsidP="00C979E3">
      <w:pPr>
        <w:rPr>
          <w:rFonts w:ascii="Open Sans" w:hAnsi="Open Sans" w:cs="Open Sans"/>
          <w:sz w:val="20"/>
          <w:szCs w:val="20"/>
        </w:rPr>
      </w:pPr>
    </w:p>
    <w:p w14:paraId="08C242E9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F8D955A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5A753B9" w14:textId="77777777" w:rsidR="00D14DE8" w:rsidRPr="00992E71" w:rsidRDefault="00D14DE8" w:rsidP="00C05080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Uprava družbe</w:t>
      </w:r>
    </w:p>
    <w:p w14:paraId="4F439242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Posle družbe vodi uprava, ki je v skladu s statutom družbe lahko dvočlanska. Uprava vodi družbo samostojno.</w:t>
      </w:r>
    </w:p>
    <w:p w14:paraId="6E4ED4B3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636401CE" w14:textId="32064217" w:rsidR="00F9583C" w:rsidRPr="00845FED" w:rsidRDefault="00740E72" w:rsidP="00D642A4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hAnsi="Open Sans" w:cs="Open Sans"/>
        </w:rPr>
        <w:t>Na dan 30.6</w:t>
      </w:r>
      <w:r w:rsidR="00EF1D7A">
        <w:rPr>
          <w:rFonts w:ascii="Open Sans" w:hAnsi="Open Sans" w:cs="Open Sans"/>
        </w:rPr>
        <w:t>.202</w:t>
      </w:r>
      <w:r w:rsidR="00845FED">
        <w:rPr>
          <w:rFonts w:ascii="Open Sans" w:hAnsi="Open Sans" w:cs="Open Sans"/>
          <w:lang w:val="sl-SI"/>
        </w:rPr>
        <w:t>2</w:t>
      </w:r>
      <w:r w:rsidR="00CC60B6" w:rsidRPr="00992E71">
        <w:rPr>
          <w:rFonts w:ascii="Open Sans" w:hAnsi="Open Sans" w:cs="Open Sans"/>
        </w:rPr>
        <w:t xml:space="preserve"> je družbo zastopala in vodila</w:t>
      </w:r>
      <w:r w:rsidR="00DD54EE" w:rsidRPr="00992E71">
        <w:rPr>
          <w:rFonts w:ascii="Open Sans" w:hAnsi="Open Sans" w:cs="Open Sans"/>
        </w:rPr>
        <w:t xml:space="preserve"> </w:t>
      </w:r>
      <w:r w:rsidR="00C9690B" w:rsidRPr="00992E71">
        <w:rPr>
          <w:rFonts w:ascii="Open Sans" w:hAnsi="Open Sans" w:cs="Open Sans"/>
          <w:lang w:val="sl-SI"/>
        </w:rPr>
        <w:t>predsednica</w:t>
      </w:r>
      <w:r w:rsidR="00C9690B" w:rsidRPr="00992E71">
        <w:rPr>
          <w:rFonts w:ascii="Open Sans" w:hAnsi="Open Sans" w:cs="Open Sans"/>
        </w:rPr>
        <w:t xml:space="preserve"> </w:t>
      </w:r>
      <w:r w:rsidR="00C9690B" w:rsidRPr="00992E71">
        <w:rPr>
          <w:rFonts w:ascii="Open Sans" w:hAnsi="Open Sans" w:cs="Open Sans"/>
          <w:lang w:val="sl-SI"/>
        </w:rPr>
        <w:t xml:space="preserve">uprave </w:t>
      </w:r>
      <w:r w:rsidR="00C9690B" w:rsidRPr="00992E71">
        <w:rPr>
          <w:rFonts w:ascii="Open Sans" w:hAnsi="Open Sans" w:cs="Open Sans"/>
        </w:rPr>
        <w:t>Simona Kozjek</w:t>
      </w:r>
      <w:r w:rsidR="00845FED">
        <w:rPr>
          <w:rFonts w:ascii="Open Sans" w:hAnsi="Open Sans" w:cs="Open Sans"/>
          <w:lang w:val="sl-SI"/>
        </w:rPr>
        <w:t>.</w:t>
      </w:r>
    </w:p>
    <w:p w14:paraId="4B243FB8" w14:textId="2D5F5C03" w:rsidR="00E7555D" w:rsidRDefault="00071378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CC60B6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3E59B7A8" w14:textId="77777777" w:rsidR="00E7555D" w:rsidRDefault="00E7555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16E4C524" w14:textId="77777777" w:rsidR="001B2EC4" w:rsidRPr="00992E71" w:rsidRDefault="001B2EC4" w:rsidP="00FD7F2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Nadzorni svet</w:t>
      </w:r>
    </w:p>
    <w:p w14:paraId="3F14B598" w14:textId="5647EA26" w:rsidR="0022662F" w:rsidRPr="00992E71" w:rsidRDefault="00DD7B82" w:rsidP="0022662F">
      <w:pPr>
        <w:pStyle w:val="Telobesedila2"/>
        <w:rPr>
          <w:rFonts w:ascii="Open Sans" w:eastAsiaTheme="minorHAnsi" w:hAnsi="Open Sans" w:cs="Open Sans"/>
          <w:lang w:val="sl-SI"/>
        </w:rPr>
      </w:pPr>
      <w:r w:rsidRPr="00762F7E">
        <w:rPr>
          <w:rFonts w:ascii="Open Sans" w:eastAsiaTheme="minorHAnsi" w:hAnsi="Open Sans" w:cs="Open Sans"/>
          <w:lang w:val="sl-SI"/>
        </w:rPr>
        <w:t>Skl</w:t>
      </w:r>
      <w:r w:rsidR="00841A63" w:rsidRPr="00762F7E">
        <w:rPr>
          <w:rFonts w:ascii="Open Sans" w:eastAsiaTheme="minorHAnsi" w:hAnsi="Open Sans" w:cs="Open Sans"/>
          <w:lang w:val="sl-SI"/>
        </w:rPr>
        <w:t xml:space="preserve">adno s statutom ima družba </w:t>
      </w:r>
      <w:r w:rsidR="00762F7E" w:rsidRPr="00762F7E">
        <w:rPr>
          <w:rFonts w:ascii="Open Sans" w:eastAsiaTheme="minorHAnsi" w:hAnsi="Open Sans" w:cs="Open Sans"/>
          <w:lang w:val="sl-SI"/>
        </w:rPr>
        <w:t>š</w:t>
      </w:r>
      <w:r w:rsidR="00845FED">
        <w:rPr>
          <w:rFonts w:ascii="Open Sans" w:eastAsiaTheme="minorHAnsi" w:hAnsi="Open Sans" w:cs="Open Sans"/>
          <w:lang w:val="sl-SI"/>
        </w:rPr>
        <w:t>tiri</w:t>
      </w:r>
      <w:r w:rsidR="00762F7E" w:rsidRPr="00762F7E">
        <w:rPr>
          <w:rFonts w:ascii="Open Sans" w:eastAsiaTheme="minorHAnsi" w:hAnsi="Open Sans" w:cs="Open Sans"/>
          <w:lang w:val="sl-SI"/>
        </w:rPr>
        <w:t xml:space="preserve">članski </w:t>
      </w:r>
      <w:r w:rsidRPr="00762F7E">
        <w:rPr>
          <w:rFonts w:ascii="Open Sans" w:eastAsiaTheme="minorHAnsi" w:hAnsi="Open Sans" w:cs="Open Sans"/>
          <w:lang w:val="sl-SI"/>
        </w:rPr>
        <w:t>nadzorni svet</w:t>
      </w:r>
      <w:r w:rsidR="00762F7E" w:rsidRPr="00762F7E">
        <w:rPr>
          <w:rFonts w:ascii="Open Sans" w:eastAsiaTheme="minorHAnsi" w:hAnsi="Open Sans" w:cs="Open Sans"/>
          <w:lang w:val="sl-SI"/>
        </w:rPr>
        <w:t xml:space="preserve">. </w:t>
      </w:r>
      <w:r w:rsidR="00740E72">
        <w:rPr>
          <w:rFonts w:ascii="Open Sans" w:eastAsiaTheme="minorHAnsi" w:hAnsi="Open Sans" w:cs="Open Sans"/>
          <w:lang w:val="sl-SI"/>
        </w:rPr>
        <w:t>Na dan 30.6</w:t>
      </w:r>
      <w:r w:rsidR="00EF1D7A">
        <w:rPr>
          <w:rFonts w:ascii="Open Sans" w:eastAsiaTheme="minorHAnsi" w:hAnsi="Open Sans" w:cs="Open Sans"/>
          <w:lang w:val="sl-SI"/>
        </w:rPr>
        <w:t>.202</w:t>
      </w:r>
      <w:r w:rsidR="00845FED">
        <w:rPr>
          <w:rFonts w:ascii="Open Sans" w:eastAsiaTheme="minorHAnsi" w:hAnsi="Open Sans" w:cs="Open Sans"/>
          <w:lang w:val="sl-SI"/>
        </w:rPr>
        <w:t>2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je</w:t>
      </w:r>
      <w:r w:rsidR="00762F7E">
        <w:rPr>
          <w:rFonts w:ascii="Open Sans" w:eastAsiaTheme="minorHAnsi" w:hAnsi="Open Sans" w:cs="Open Sans"/>
          <w:lang w:val="sl-SI"/>
        </w:rPr>
        <w:t xml:space="preserve"> tako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nadzorni svet deloval v sestavi: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predsednik Mih</w:t>
      </w:r>
      <w:r w:rsidR="00CF1839">
        <w:rPr>
          <w:rFonts w:ascii="Open Sans" w:eastAsiaTheme="minorHAnsi" w:hAnsi="Open Sans" w:cs="Open Sans"/>
          <w:lang w:val="sl-SI"/>
        </w:rPr>
        <w:t xml:space="preserve">a Grilec, </w:t>
      </w:r>
      <w:r w:rsidR="00762F7E">
        <w:rPr>
          <w:rFonts w:ascii="Open Sans" w:eastAsiaTheme="minorHAnsi" w:hAnsi="Open Sans" w:cs="Open Sans"/>
          <w:lang w:val="sl-SI"/>
        </w:rPr>
        <w:t>namestnik predsednika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</w:t>
      </w:r>
      <w:r w:rsidR="00CF1839">
        <w:rPr>
          <w:rFonts w:ascii="Open Sans" w:eastAsiaTheme="minorHAnsi" w:hAnsi="Open Sans" w:cs="Open Sans"/>
          <w:lang w:val="sl-SI"/>
        </w:rPr>
        <w:t>Matej Runjak</w:t>
      </w:r>
      <w:r w:rsidR="00762F7E">
        <w:rPr>
          <w:rFonts w:ascii="Open Sans" w:eastAsiaTheme="minorHAnsi" w:hAnsi="Open Sans" w:cs="Open Sans"/>
          <w:lang w:val="sl-SI"/>
        </w:rPr>
        <w:t xml:space="preserve"> ter člana</w:t>
      </w:r>
      <w:r w:rsidR="00CF1839">
        <w:rPr>
          <w:rFonts w:ascii="Open Sans" w:eastAsiaTheme="minorHAnsi" w:hAnsi="Open Sans" w:cs="Open Sans"/>
          <w:lang w:val="sl-SI"/>
        </w:rPr>
        <w:t xml:space="preserve"> </w:t>
      </w:r>
      <w:r w:rsidR="0022662F" w:rsidRPr="00992E71">
        <w:rPr>
          <w:rFonts w:ascii="Open Sans" w:eastAsiaTheme="minorHAnsi" w:hAnsi="Open Sans" w:cs="Open Sans"/>
          <w:lang w:val="sl-SI"/>
        </w:rPr>
        <w:t>Zoran Bošković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in</w:t>
      </w:r>
      <w:r w:rsidR="00E455AF">
        <w:rPr>
          <w:rFonts w:ascii="Open Sans" w:eastAsiaTheme="minorHAnsi" w:hAnsi="Open Sans" w:cs="Open Sans"/>
          <w:lang w:val="sl-SI"/>
        </w:rPr>
        <w:t xml:space="preserve"> </w:t>
      </w:r>
      <w:r w:rsidR="00845FED">
        <w:rPr>
          <w:rFonts w:ascii="Open Sans" w:eastAsiaTheme="minorHAnsi" w:hAnsi="Open Sans" w:cs="Open Sans"/>
          <w:lang w:val="sl-SI"/>
        </w:rPr>
        <w:t>Jaka Kirn.</w:t>
      </w:r>
      <w:r w:rsidR="001E3CDE">
        <w:rPr>
          <w:rFonts w:ascii="Open Sans" w:eastAsiaTheme="minorHAnsi" w:hAnsi="Open Sans" w:cs="Open Sans"/>
          <w:lang w:val="sl-SI"/>
        </w:rPr>
        <w:t xml:space="preserve"> </w:t>
      </w:r>
    </w:p>
    <w:p w14:paraId="18876DAD" w14:textId="77777777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E873714" w14:textId="4772C425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Znotraj nadzornega sveta deluje</w:t>
      </w:r>
      <w:r w:rsidR="00992E71">
        <w:rPr>
          <w:rFonts w:ascii="Open Sans" w:eastAsiaTheme="minorHAnsi" w:hAnsi="Open Sans" w:cs="Open Sans"/>
          <w:lang w:val="sl-SI"/>
        </w:rPr>
        <w:t xml:space="preserve">ta kot stalni komisiji </w:t>
      </w:r>
      <w:r w:rsidRPr="00992E71">
        <w:rPr>
          <w:rFonts w:ascii="Open Sans" w:eastAsiaTheme="minorHAnsi" w:hAnsi="Open Sans" w:cs="Open Sans"/>
          <w:lang w:val="sl-SI"/>
        </w:rPr>
        <w:t xml:space="preserve">revizijska </w:t>
      </w:r>
      <w:r w:rsidR="00992E71">
        <w:rPr>
          <w:rFonts w:ascii="Open Sans" w:eastAsiaTheme="minorHAnsi" w:hAnsi="Open Sans" w:cs="Open Sans"/>
          <w:lang w:val="sl-SI"/>
        </w:rPr>
        <w:t>in</w:t>
      </w:r>
      <w:r w:rsidRPr="00992E71">
        <w:rPr>
          <w:rFonts w:ascii="Open Sans" w:eastAsiaTheme="minorHAnsi" w:hAnsi="Open Sans" w:cs="Open Sans"/>
          <w:lang w:val="sl-SI"/>
        </w:rPr>
        <w:t xml:space="preserve"> kadrovska komisija</w:t>
      </w:r>
      <w:r w:rsidR="00992E71">
        <w:rPr>
          <w:rFonts w:ascii="Open Sans" w:eastAsiaTheme="minorHAnsi" w:hAnsi="Open Sans" w:cs="Open Sans"/>
          <w:lang w:val="sl-SI"/>
        </w:rPr>
        <w:t>.</w:t>
      </w:r>
      <w:r w:rsidRPr="00992E71">
        <w:rPr>
          <w:rFonts w:ascii="Open Sans" w:eastAsiaTheme="minorHAnsi" w:hAnsi="Open Sans" w:cs="Open Sans"/>
          <w:lang w:val="sl-SI"/>
        </w:rPr>
        <w:t xml:space="preserve"> </w:t>
      </w:r>
    </w:p>
    <w:p w14:paraId="4458BAB4" w14:textId="77777777" w:rsidR="005D7FF3" w:rsidRPr="00992E71" w:rsidRDefault="005D7FF3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49D14364" w14:textId="0EA91870" w:rsidR="000A7E9B" w:rsidRPr="00377311" w:rsidRDefault="00BB19A1" w:rsidP="00377311">
      <w:pPr>
        <w:pStyle w:val="Odstavekseznama"/>
        <w:numPr>
          <w:ilvl w:val="0"/>
          <w:numId w:val="12"/>
        </w:numPr>
        <w:rPr>
          <w:rFonts w:ascii="Open Sans" w:hAnsi="Open Sans" w:cs="Open Sans"/>
          <w:b/>
          <w:sz w:val="24"/>
          <w:szCs w:val="24"/>
        </w:rPr>
      </w:pPr>
      <w:r w:rsidRPr="00377311">
        <w:rPr>
          <w:rFonts w:ascii="Open Sans" w:hAnsi="Open Sans" w:cs="Open Sans"/>
          <w:b/>
          <w:sz w:val="20"/>
          <w:szCs w:val="20"/>
          <w:highlight w:val="yellow"/>
        </w:rPr>
        <w:br w:type="page"/>
      </w:r>
      <w:r w:rsidR="00A52760" w:rsidRPr="00377311">
        <w:rPr>
          <w:rFonts w:ascii="Open Sans" w:hAnsi="Open Sans" w:cs="Open Sans"/>
          <w:b/>
          <w:sz w:val="24"/>
          <w:szCs w:val="24"/>
        </w:rPr>
        <w:lastRenderedPageBreak/>
        <w:t>POSLOVNO POROČILO</w:t>
      </w:r>
    </w:p>
    <w:p w14:paraId="7C1323A6" w14:textId="77777777" w:rsidR="00696275" w:rsidRPr="00992E71" w:rsidRDefault="00696275" w:rsidP="00696275">
      <w:pPr>
        <w:pStyle w:val="Odstavekseznama"/>
        <w:ind w:left="360"/>
        <w:jc w:val="both"/>
        <w:rPr>
          <w:rFonts w:ascii="Open Sans" w:hAnsi="Open Sans" w:cs="Open Sans"/>
          <w:b/>
          <w:sz w:val="24"/>
          <w:szCs w:val="24"/>
        </w:rPr>
      </w:pPr>
    </w:p>
    <w:p w14:paraId="054B8CB9" w14:textId="53903049" w:rsidR="00924219" w:rsidRPr="00CD1E00" w:rsidRDefault="009A1F2F" w:rsidP="009A1F2F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CD1E00">
        <w:rPr>
          <w:rFonts w:ascii="Open Sans" w:hAnsi="Open Sans" w:cs="Open Sans"/>
          <w:b/>
          <w:sz w:val="20"/>
          <w:szCs w:val="20"/>
        </w:rPr>
        <w:t xml:space="preserve">Poslovanje družbe NAMA d.d. </w:t>
      </w:r>
      <w:r w:rsidR="00E22400" w:rsidRPr="00CD1E00">
        <w:rPr>
          <w:rFonts w:ascii="Open Sans" w:hAnsi="Open Sans" w:cs="Open Sans"/>
          <w:b/>
          <w:sz w:val="20"/>
          <w:szCs w:val="20"/>
        </w:rPr>
        <w:t xml:space="preserve">Ljubljana v </w:t>
      </w:r>
      <w:r w:rsidR="00913974" w:rsidRPr="00CD1E00">
        <w:rPr>
          <w:rFonts w:ascii="Open Sans" w:hAnsi="Open Sans" w:cs="Open Sans"/>
          <w:b/>
          <w:sz w:val="20"/>
          <w:szCs w:val="20"/>
        </w:rPr>
        <w:t xml:space="preserve">prvem polletju leta </w:t>
      </w:r>
      <w:r w:rsidR="00B17D9B" w:rsidRPr="00CD1E00">
        <w:rPr>
          <w:rFonts w:ascii="Open Sans" w:hAnsi="Open Sans" w:cs="Open Sans"/>
          <w:b/>
          <w:sz w:val="20"/>
          <w:szCs w:val="20"/>
        </w:rPr>
        <w:t>202</w:t>
      </w:r>
      <w:r w:rsidR="00845FED" w:rsidRPr="00CD1E00">
        <w:rPr>
          <w:rFonts w:ascii="Open Sans" w:hAnsi="Open Sans" w:cs="Open Sans"/>
          <w:b/>
          <w:sz w:val="20"/>
          <w:szCs w:val="20"/>
        </w:rPr>
        <w:t>2</w:t>
      </w:r>
    </w:p>
    <w:p w14:paraId="596ECB8F" w14:textId="761EE26A" w:rsidR="00992F38" w:rsidRPr="00992E71" w:rsidRDefault="0010615B" w:rsidP="0092421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Čisti poslovni izid d</w:t>
      </w:r>
      <w:r w:rsidR="00A67606" w:rsidRPr="00AB6106">
        <w:rPr>
          <w:rFonts w:ascii="Open Sans" w:hAnsi="Open Sans" w:cs="Open Sans"/>
          <w:sz w:val="20"/>
          <w:szCs w:val="20"/>
        </w:rPr>
        <w:t>ružb</w:t>
      </w:r>
      <w:r>
        <w:rPr>
          <w:rFonts w:ascii="Open Sans" w:hAnsi="Open Sans" w:cs="Open Sans"/>
          <w:sz w:val="20"/>
          <w:szCs w:val="20"/>
        </w:rPr>
        <w:t>e</w:t>
      </w:r>
      <w:r w:rsidR="00A67606" w:rsidRPr="00992E71">
        <w:rPr>
          <w:rFonts w:ascii="Open Sans" w:hAnsi="Open Sans" w:cs="Open Sans"/>
          <w:sz w:val="20"/>
          <w:szCs w:val="20"/>
        </w:rPr>
        <w:t xml:space="preserve"> </w:t>
      </w:r>
      <w:r w:rsidR="00CB07E3">
        <w:rPr>
          <w:rFonts w:ascii="Open Sans" w:hAnsi="Open Sans" w:cs="Open Sans"/>
          <w:sz w:val="20"/>
          <w:szCs w:val="20"/>
        </w:rPr>
        <w:t>v</w:t>
      </w:r>
      <w:r>
        <w:rPr>
          <w:rFonts w:ascii="Open Sans" w:hAnsi="Open Sans" w:cs="Open Sans"/>
          <w:sz w:val="20"/>
          <w:szCs w:val="20"/>
        </w:rPr>
        <w:t xml:space="preserve"> prvem polletju leta 2022 znaša 512.761 EUR, kar je za 55% manj kot v enakem obdobju preteklega leta, ko je družba ustvarila čisti poslovni izid v višini 1.148.647 EUR, </w:t>
      </w:r>
      <w:r w:rsidR="00AF5B86">
        <w:rPr>
          <w:rFonts w:ascii="Open Sans" w:hAnsi="Open Sans" w:cs="Open Sans"/>
          <w:sz w:val="20"/>
          <w:szCs w:val="20"/>
        </w:rPr>
        <w:t xml:space="preserve">pri čemer ta rezultat vključuje tudi </w:t>
      </w:r>
      <w:r w:rsidR="00635A35">
        <w:rPr>
          <w:rFonts w:ascii="Open Sans" w:hAnsi="Open Sans" w:cs="Open Sans"/>
          <w:sz w:val="20"/>
          <w:szCs w:val="20"/>
        </w:rPr>
        <w:t>dobiček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635A35">
        <w:rPr>
          <w:rFonts w:ascii="Open Sans" w:hAnsi="Open Sans" w:cs="Open Sans"/>
          <w:sz w:val="20"/>
          <w:szCs w:val="20"/>
        </w:rPr>
        <w:t>pri prodaji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CA2244">
        <w:rPr>
          <w:rFonts w:ascii="Open Sans" w:hAnsi="Open Sans" w:cs="Open Sans"/>
          <w:sz w:val="20"/>
          <w:szCs w:val="20"/>
        </w:rPr>
        <w:t>nepremičnine v Novigradu</w:t>
      </w:r>
      <w:r w:rsidR="00FF6D8B">
        <w:rPr>
          <w:rFonts w:ascii="Open Sans" w:hAnsi="Open Sans" w:cs="Open Sans"/>
          <w:sz w:val="20"/>
          <w:szCs w:val="20"/>
        </w:rPr>
        <w:t xml:space="preserve"> v višini 625.479 EUR</w:t>
      </w:r>
      <w:r w:rsidR="00CA2244">
        <w:rPr>
          <w:rFonts w:ascii="Open Sans" w:hAnsi="Open Sans" w:cs="Open Sans"/>
          <w:sz w:val="20"/>
          <w:szCs w:val="20"/>
        </w:rPr>
        <w:t>.</w:t>
      </w:r>
      <w:r w:rsidR="0003253E">
        <w:rPr>
          <w:rFonts w:ascii="Open Sans" w:hAnsi="Open Sans" w:cs="Open Sans"/>
          <w:sz w:val="20"/>
          <w:szCs w:val="20"/>
        </w:rPr>
        <w:t xml:space="preserve"> Družba v prvem polletju 2022 ni ustvarila prihodkov od prodaje nepremičnin. </w:t>
      </w:r>
      <w:r w:rsidR="00CA2244">
        <w:rPr>
          <w:rFonts w:ascii="Open Sans" w:hAnsi="Open Sans" w:cs="Open Sans"/>
          <w:sz w:val="20"/>
          <w:szCs w:val="20"/>
        </w:rPr>
        <w:t xml:space="preserve"> Brez učinkov prodaje nepremičnin</w:t>
      </w:r>
      <w:r w:rsidR="00635A35">
        <w:rPr>
          <w:rFonts w:ascii="Open Sans" w:hAnsi="Open Sans" w:cs="Open Sans"/>
          <w:sz w:val="20"/>
          <w:szCs w:val="20"/>
        </w:rPr>
        <w:t xml:space="preserve"> bi poslovni izid </w:t>
      </w:r>
      <w:r w:rsidR="00C44BFD">
        <w:rPr>
          <w:rFonts w:ascii="Open Sans" w:hAnsi="Open Sans" w:cs="Open Sans"/>
          <w:sz w:val="20"/>
          <w:szCs w:val="20"/>
        </w:rPr>
        <w:t xml:space="preserve">v </w:t>
      </w:r>
      <w:r w:rsidR="00762F7E">
        <w:rPr>
          <w:rFonts w:ascii="Open Sans" w:hAnsi="Open Sans" w:cs="Open Sans"/>
          <w:sz w:val="20"/>
          <w:szCs w:val="20"/>
        </w:rPr>
        <w:t>prvem polle</w:t>
      </w:r>
      <w:r w:rsidR="000C7CC8">
        <w:rPr>
          <w:rFonts w:ascii="Open Sans" w:hAnsi="Open Sans" w:cs="Open Sans"/>
          <w:sz w:val="20"/>
          <w:szCs w:val="20"/>
        </w:rPr>
        <w:t>tju</w:t>
      </w:r>
      <w:r w:rsidR="00CA2244">
        <w:rPr>
          <w:rFonts w:ascii="Open Sans" w:hAnsi="Open Sans" w:cs="Open Sans"/>
          <w:sz w:val="20"/>
          <w:szCs w:val="20"/>
        </w:rPr>
        <w:t xml:space="preserve"> 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5B2351">
        <w:rPr>
          <w:rFonts w:ascii="Open Sans" w:hAnsi="Open Sans" w:cs="Open Sans"/>
          <w:sz w:val="20"/>
          <w:szCs w:val="20"/>
        </w:rPr>
        <w:t>1 tako</w:t>
      </w:r>
      <w:r w:rsidR="00C44BFD">
        <w:rPr>
          <w:rFonts w:ascii="Open Sans" w:hAnsi="Open Sans" w:cs="Open Sans"/>
          <w:sz w:val="20"/>
          <w:szCs w:val="20"/>
        </w:rPr>
        <w:t xml:space="preserve"> </w:t>
      </w:r>
      <w:r w:rsidR="00FF6D8B">
        <w:rPr>
          <w:rFonts w:ascii="Open Sans" w:hAnsi="Open Sans" w:cs="Open Sans"/>
          <w:sz w:val="20"/>
          <w:szCs w:val="20"/>
        </w:rPr>
        <w:t xml:space="preserve">znašal </w:t>
      </w:r>
      <w:r w:rsidR="005B2351">
        <w:rPr>
          <w:rFonts w:ascii="Open Sans" w:hAnsi="Open Sans" w:cs="Open Sans"/>
          <w:sz w:val="20"/>
          <w:szCs w:val="20"/>
        </w:rPr>
        <w:t>523.168 EUR</w:t>
      </w:r>
      <w:r w:rsidR="0003253E">
        <w:rPr>
          <w:rFonts w:ascii="Open Sans" w:hAnsi="Open Sans" w:cs="Open Sans"/>
          <w:sz w:val="20"/>
          <w:szCs w:val="20"/>
        </w:rPr>
        <w:t>.</w:t>
      </w:r>
    </w:p>
    <w:p w14:paraId="2E49C0FF" w14:textId="6B667BCF" w:rsidR="00794DAF" w:rsidRPr="000301BE" w:rsidRDefault="00D929C6" w:rsidP="0092421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</w:t>
      </w:r>
      <w:r w:rsidRPr="00CB45D1">
        <w:rPr>
          <w:rFonts w:ascii="Open Sans" w:hAnsi="Open Sans" w:cs="Open Sans"/>
          <w:sz w:val="20"/>
          <w:szCs w:val="20"/>
        </w:rPr>
        <w:t>prihodki od prodaje</w:t>
      </w:r>
      <w:r w:rsidR="00992F38" w:rsidRPr="00CB45D1">
        <w:rPr>
          <w:rFonts w:ascii="Open Sans" w:hAnsi="Open Sans" w:cs="Open Sans"/>
          <w:sz w:val="20"/>
          <w:szCs w:val="20"/>
        </w:rPr>
        <w:t xml:space="preserve"> so v </w:t>
      </w:r>
      <w:r w:rsidR="00A659CE">
        <w:rPr>
          <w:rFonts w:ascii="Open Sans" w:hAnsi="Open Sans" w:cs="Open Sans"/>
          <w:sz w:val="20"/>
          <w:szCs w:val="20"/>
        </w:rPr>
        <w:t>obdobju 1.1. do 30.6</w:t>
      </w:r>
      <w:r w:rsidR="009A4EF9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A659CE">
        <w:rPr>
          <w:rFonts w:ascii="Open Sans" w:hAnsi="Open Sans" w:cs="Open Sans"/>
          <w:sz w:val="20"/>
          <w:szCs w:val="20"/>
        </w:rPr>
        <w:t xml:space="preserve"> znašali </w:t>
      </w:r>
      <w:r w:rsidR="00A7093E">
        <w:rPr>
          <w:rFonts w:ascii="Open Sans" w:hAnsi="Open Sans" w:cs="Open Sans"/>
          <w:sz w:val="20"/>
          <w:szCs w:val="20"/>
        </w:rPr>
        <w:t>1.372.279</w:t>
      </w:r>
      <w:r w:rsidR="00A835B3">
        <w:rPr>
          <w:rFonts w:ascii="Open Sans" w:hAnsi="Open Sans" w:cs="Open Sans"/>
          <w:sz w:val="20"/>
          <w:szCs w:val="20"/>
        </w:rPr>
        <w:t xml:space="preserve"> EUR in so bili </w:t>
      </w:r>
      <w:r w:rsidR="00E967AF">
        <w:rPr>
          <w:rFonts w:ascii="Open Sans" w:hAnsi="Open Sans" w:cs="Open Sans"/>
          <w:sz w:val="20"/>
          <w:szCs w:val="20"/>
        </w:rPr>
        <w:t xml:space="preserve">za </w:t>
      </w:r>
      <w:r w:rsidR="00A7093E">
        <w:rPr>
          <w:rFonts w:ascii="Open Sans" w:hAnsi="Open Sans" w:cs="Open Sans"/>
          <w:sz w:val="20"/>
          <w:szCs w:val="20"/>
        </w:rPr>
        <w:t>12</w:t>
      </w:r>
      <w:r w:rsidR="00E967AF">
        <w:rPr>
          <w:rFonts w:ascii="Open Sans" w:hAnsi="Open Sans" w:cs="Open Sans"/>
          <w:sz w:val="20"/>
          <w:szCs w:val="20"/>
        </w:rPr>
        <w:t>% višji</w:t>
      </w:r>
      <w:r w:rsidR="00C6057B" w:rsidRPr="00302C77">
        <w:rPr>
          <w:rFonts w:ascii="Open Sans" w:hAnsi="Open Sans" w:cs="Open Sans"/>
          <w:sz w:val="20"/>
          <w:szCs w:val="20"/>
        </w:rPr>
        <w:t xml:space="preserve"> kot v primerlji</w:t>
      </w:r>
      <w:r w:rsidR="00026860">
        <w:rPr>
          <w:rFonts w:ascii="Open Sans" w:hAnsi="Open Sans" w:cs="Open Sans"/>
          <w:sz w:val="20"/>
          <w:szCs w:val="20"/>
        </w:rPr>
        <w:t xml:space="preserve">vem obdobju lani, ko so znašali </w:t>
      </w:r>
      <w:r w:rsidR="00A7093E">
        <w:rPr>
          <w:rFonts w:ascii="Open Sans" w:hAnsi="Open Sans" w:cs="Open Sans"/>
          <w:sz w:val="20"/>
          <w:szCs w:val="20"/>
        </w:rPr>
        <w:t>1.224.431</w:t>
      </w:r>
      <w:r w:rsidR="00122808">
        <w:rPr>
          <w:rFonts w:ascii="Open Sans" w:hAnsi="Open Sans" w:cs="Open Sans"/>
          <w:sz w:val="20"/>
          <w:szCs w:val="20"/>
        </w:rPr>
        <w:t xml:space="preserve"> </w:t>
      </w:r>
      <w:r w:rsidR="00C6057B" w:rsidRPr="00CB45D1">
        <w:rPr>
          <w:rFonts w:ascii="Open Sans" w:hAnsi="Open Sans" w:cs="Open Sans"/>
          <w:sz w:val="20"/>
          <w:szCs w:val="20"/>
        </w:rPr>
        <w:t>EUR</w:t>
      </w:r>
      <w:r w:rsidR="00992F38" w:rsidRPr="005C6E7F">
        <w:rPr>
          <w:rFonts w:ascii="Open Sans" w:hAnsi="Open Sans" w:cs="Open Sans"/>
          <w:sz w:val="20"/>
          <w:szCs w:val="20"/>
        </w:rPr>
        <w:t xml:space="preserve">. </w:t>
      </w:r>
      <w:r w:rsidR="00253746" w:rsidRPr="00CD1E00">
        <w:rPr>
          <w:rFonts w:ascii="Open Sans" w:hAnsi="Open Sans" w:cs="Open Sans"/>
          <w:sz w:val="20"/>
          <w:szCs w:val="20"/>
        </w:rPr>
        <w:t xml:space="preserve">Višja </w:t>
      </w:r>
      <w:r w:rsidR="00E20FB5" w:rsidRPr="005C6E7F">
        <w:rPr>
          <w:rFonts w:ascii="Open Sans" w:hAnsi="Open Sans" w:cs="Open Sans"/>
          <w:sz w:val="20"/>
          <w:szCs w:val="20"/>
        </w:rPr>
        <w:t>realizacij</w:t>
      </w:r>
      <w:r w:rsidR="00253746" w:rsidRPr="00CD1E00">
        <w:rPr>
          <w:rFonts w:ascii="Open Sans" w:hAnsi="Open Sans" w:cs="Open Sans"/>
          <w:sz w:val="20"/>
          <w:szCs w:val="20"/>
        </w:rPr>
        <w:t>a</w:t>
      </w:r>
      <w:r w:rsidR="00E20FB5" w:rsidRPr="005C6E7F">
        <w:rPr>
          <w:rFonts w:ascii="Open Sans" w:hAnsi="Open Sans" w:cs="Open Sans"/>
          <w:sz w:val="20"/>
          <w:szCs w:val="20"/>
        </w:rPr>
        <w:t xml:space="preserve"> čistih p</w:t>
      </w:r>
      <w:r w:rsidR="00A51AD5" w:rsidRPr="005C6E7F">
        <w:rPr>
          <w:rFonts w:ascii="Open Sans" w:hAnsi="Open Sans" w:cs="Open Sans"/>
          <w:sz w:val="20"/>
          <w:szCs w:val="20"/>
        </w:rPr>
        <w:t>rihodkov od prodaje v prvih šestih</w:t>
      </w:r>
      <w:r w:rsidR="00E20FB5" w:rsidRPr="005C6E7F">
        <w:rPr>
          <w:rFonts w:ascii="Open Sans" w:hAnsi="Open Sans" w:cs="Open Sans"/>
          <w:sz w:val="20"/>
          <w:szCs w:val="20"/>
        </w:rPr>
        <w:t xml:space="preserve"> mesecih leta </w:t>
      </w:r>
      <w:r w:rsidR="00913974" w:rsidRPr="005C6E7F">
        <w:rPr>
          <w:rFonts w:ascii="Open Sans" w:hAnsi="Open Sans" w:cs="Open Sans"/>
          <w:sz w:val="20"/>
          <w:szCs w:val="20"/>
        </w:rPr>
        <w:t>2022</w:t>
      </w:r>
      <w:r w:rsidR="00E20FB5" w:rsidRPr="005C6E7F">
        <w:rPr>
          <w:rFonts w:ascii="Open Sans" w:hAnsi="Open Sans" w:cs="Open Sans"/>
          <w:sz w:val="20"/>
          <w:szCs w:val="20"/>
        </w:rPr>
        <w:t xml:space="preserve"> </w:t>
      </w:r>
      <w:r w:rsidR="00253746" w:rsidRPr="00CD1E00">
        <w:rPr>
          <w:rFonts w:ascii="Open Sans" w:hAnsi="Open Sans" w:cs="Open Sans"/>
          <w:sz w:val="20"/>
          <w:szCs w:val="20"/>
        </w:rPr>
        <w:t>napram primerljivem obdobju lani</w:t>
      </w:r>
      <w:r w:rsidR="005C6E7F">
        <w:rPr>
          <w:rFonts w:ascii="Open Sans" w:hAnsi="Open Sans" w:cs="Open Sans"/>
          <w:sz w:val="20"/>
          <w:szCs w:val="20"/>
        </w:rPr>
        <w:t>,</w:t>
      </w:r>
      <w:r w:rsidR="00253746" w:rsidRPr="00CD1E00">
        <w:rPr>
          <w:rFonts w:ascii="Open Sans" w:hAnsi="Open Sans" w:cs="Open Sans"/>
          <w:sz w:val="20"/>
          <w:szCs w:val="20"/>
        </w:rPr>
        <w:t xml:space="preserve"> </w:t>
      </w:r>
      <w:r w:rsidR="00E20FB5" w:rsidRPr="005C6E7F">
        <w:rPr>
          <w:rFonts w:ascii="Open Sans" w:hAnsi="Open Sans" w:cs="Open Sans"/>
          <w:sz w:val="20"/>
          <w:szCs w:val="20"/>
        </w:rPr>
        <w:t>je</w:t>
      </w:r>
      <w:r w:rsidR="00253746" w:rsidRPr="00CD1E00">
        <w:rPr>
          <w:rFonts w:ascii="Open Sans" w:hAnsi="Open Sans" w:cs="Open Sans"/>
          <w:sz w:val="20"/>
          <w:szCs w:val="20"/>
        </w:rPr>
        <w:t xml:space="preserve"> posledica predvsem novih investicij v naložbene nepremičnine ter višjih doseženih najemnin</w:t>
      </w:r>
      <w:r w:rsidR="005C6E7F">
        <w:rPr>
          <w:rFonts w:ascii="Open Sans" w:hAnsi="Open Sans" w:cs="Open Sans"/>
          <w:sz w:val="20"/>
          <w:szCs w:val="20"/>
        </w:rPr>
        <w:t>ah</w:t>
      </w:r>
      <w:r w:rsidR="00253746" w:rsidRPr="00CD1E00">
        <w:rPr>
          <w:rFonts w:ascii="Open Sans" w:hAnsi="Open Sans" w:cs="Open Sans"/>
          <w:sz w:val="20"/>
          <w:szCs w:val="20"/>
        </w:rPr>
        <w:t xml:space="preserve"> pri določenih najemnikih.</w:t>
      </w:r>
    </w:p>
    <w:p w14:paraId="66462D1B" w14:textId="7F534E2D" w:rsidR="008436C5" w:rsidRPr="00CB45D1" w:rsidRDefault="008436C5" w:rsidP="0092421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Družba je v prvi</w:t>
      </w:r>
      <w:r w:rsidR="00256E66">
        <w:rPr>
          <w:rFonts w:ascii="Open Sans" w:hAnsi="Open Sans" w:cs="Open Sans"/>
          <w:sz w:val="20"/>
          <w:szCs w:val="20"/>
        </w:rPr>
        <w:t>h šestih</w:t>
      </w:r>
      <w:r w:rsidR="0084660D">
        <w:rPr>
          <w:rFonts w:ascii="Open Sans" w:hAnsi="Open Sans" w:cs="Open Sans"/>
          <w:sz w:val="20"/>
          <w:szCs w:val="20"/>
        </w:rPr>
        <w:t xml:space="preserve"> mesecih</w:t>
      </w:r>
      <w:r w:rsidR="009A4EF9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>
        <w:rPr>
          <w:rFonts w:ascii="Open Sans" w:hAnsi="Open Sans" w:cs="Open Sans"/>
          <w:sz w:val="20"/>
          <w:szCs w:val="20"/>
        </w:rPr>
        <w:t xml:space="preserve"> realizirala za </w:t>
      </w:r>
      <w:r w:rsidR="009B4A40">
        <w:rPr>
          <w:rFonts w:ascii="Open Sans" w:hAnsi="Open Sans" w:cs="Open Sans"/>
          <w:sz w:val="20"/>
          <w:szCs w:val="20"/>
        </w:rPr>
        <w:t>5.344</w:t>
      </w:r>
      <w:r>
        <w:rPr>
          <w:rFonts w:ascii="Open Sans" w:hAnsi="Open Sans" w:cs="Open Sans"/>
          <w:sz w:val="20"/>
          <w:szCs w:val="20"/>
        </w:rPr>
        <w:t xml:space="preserve"> EUR drugih poslovnih prihodkov</w:t>
      </w:r>
      <w:r w:rsidR="00256E66">
        <w:rPr>
          <w:rFonts w:ascii="Open Sans" w:hAnsi="Open Sans" w:cs="Open Sans"/>
          <w:sz w:val="20"/>
          <w:szCs w:val="20"/>
        </w:rPr>
        <w:t xml:space="preserve"> (1.1. – 30.6.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256E66">
        <w:rPr>
          <w:rFonts w:ascii="Open Sans" w:hAnsi="Open Sans" w:cs="Open Sans"/>
          <w:sz w:val="20"/>
          <w:szCs w:val="20"/>
        </w:rPr>
        <w:t xml:space="preserve">: </w:t>
      </w:r>
      <w:r w:rsidR="009B4A40">
        <w:rPr>
          <w:rFonts w:ascii="Open Sans" w:hAnsi="Open Sans" w:cs="Open Sans"/>
          <w:sz w:val="20"/>
          <w:szCs w:val="20"/>
        </w:rPr>
        <w:t>632.944</w:t>
      </w:r>
      <w:r w:rsidR="00271963">
        <w:rPr>
          <w:rFonts w:ascii="Open Sans" w:hAnsi="Open Sans" w:cs="Open Sans"/>
          <w:sz w:val="20"/>
          <w:szCs w:val="20"/>
        </w:rPr>
        <w:t xml:space="preserve"> EUR)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CE3FD2">
        <w:rPr>
          <w:rFonts w:ascii="Open Sans" w:hAnsi="Open Sans" w:cs="Open Sans"/>
          <w:sz w:val="20"/>
          <w:szCs w:val="20"/>
        </w:rPr>
        <w:t>V preteklem obdobju se v</w:t>
      </w:r>
      <w:r>
        <w:rPr>
          <w:rFonts w:ascii="Open Sans" w:hAnsi="Open Sans" w:cs="Open Sans"/>
          <w:sz w:val="20"/>
          <w:szCs w:val="20"/>
        </w:rPr>
        <w:t xml:space="preserve">ečji del teh prihodkov nanaša na </w:t>
      </w:r>
      <w:r w:rsidR="00CE3FD2">
        <w:rPr>
          <w:rFonts w:ascii="Open Sans" w:hAnsi="Open Sans" w:cs="Open Sans"/>
          <w:sz w:val="20"/>
          <w:szCs w:val="20"/>
        </w:rPr>
        <w:t xml:space="preserve">že omenjene </w:t>
      </w:r>
      <w:r>
        <w:rPr>
          <w:rFonts w:ascii="Open Sans" w:hAnsi="Open Sans" w:cs="Open Sans"/>
          <w:sz w:val="20"/>
          <w:szCs w:val="20"/>
        </w:rPr>
        <w:t>dobičke pri pr</w:t>
      </w:r>
      <w:r w:rsidR="009A4EF9">
        <w:rPr>
          <w:rFonts w:ascii="Open Sans" w:hAnsi="Open Sans" w:cs="Open Sans"/>
          <w:sz w:val="20"/>
          <w:szCs w:val="20"/>
        </w:rPr>
        <w:t>odaji nepremičnin</w:t>
      </w:r>
      <w:r w:rsidR="00BE4121" w:rsidRPr="00993F07">
        <w:rPr>
          <w:rFonts w:ascii="Open Sans" w:hAnsi="Open Sans" w:cs="Open Sans"/>
          <w:sz w:val="20"/>
          <w:szCs w:val="20"/>
        </w:rPr>
        <w:t>.</w:t>
      </w:r>
    </w:p>
    <w:p w14:paraId="67F1D1EC" w14:textId="10DB5ABC" w:rsidR="009C55DE" w:rsidRDefault="00884661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>Stroški blaga, materiala in storitev</w:t>
      </w:r>
      <w:r w:rsidR="004E1ED2" w:rsidRPr="00CB45D1">
        <w:rPr>
          <w:rFonts w:ascii="Open Sans" w:hAnsi="Open Sans" w:cs="Open Sans"/>
          <w:sz w:val="20"/>
          <w:szCs w:val="20"/>
        </w:rPr>
        <w:t xml:space="preserve"> so v </w:t>
      </w:r>
      <w:r w:rsidR="00F90C50">
        <w:rPr>
          <w:rFonts w:ascii="Open Sans" w:hAnsi="Open Sans" w:cs="Open Sans"/>
          <w:sz w:val="20"/>
          <w:szCs w:val="20"/>
        </w:rPr>
        <w:t>obdobju 1.1. do 30.6</w:t>
      </w:r>
      <w:r w:rsidR="00731009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4E1ED2" w:rsidRPr="00CB45D1">
        <w:rPr>
          <w:rFonts w:ascii="Open Sans" w:hAnsi="Open Sans" w:cs="Open Sans"/>
          <w:sz w:val="20"/>
          <w:szCs w:val="20"/>
        </w:rPr>
        <w:t xml:space="preserve"> znašali</w:t>
      </w:r>
      <w:r w:rsidR="00F90C50">
        <w:rPr>
          <w:rFonts w:ascii="Open Sans" w:hAnsi="Open Sans" w:cs="Open Sans"/>
          <w:sz w:val="20"/>
          <w:szCs w:val="20"/>
        </w:rPr>
        <w:t xml:space="preserve"> </w:t>
      </w:r>
      <w:r w:rsidR="00CE3FD2">
        <w:rPr>
          <w:rFonts w:ascii="Open Sans" w:hAnsi="Open Sans" w:cs="Open Sans"/>
          <w:sz w:val="20"/>
          <w:szCs w:val="20"/>
        </w:rPr>
        <w:t>361.745</w:t>
      </w:r>
      <w:r w:rsidR="0081049D" w:rsidRPr="00CB45D1">
        <w:rPr>
          <w:rFonts w:ascii="Open Sans" w:hAnsi="Open Sans" w:cs="Open Sans"/>
          <w:sz w:val="20"/>
          <w:szCs w:val="20"/>
        </w:rPr>
        <w:t xml:space="preserve"> EUR in </w:t>
      </w:r>
      <w:r w:rsidR="004E1ED2" w:rsidRPr="00CB45D1">
        <w:rPr>
          <w:rFonts w:ascii="Open Sans" w:hAnsi="Open Sans" w:cs="Open Sans"/>
          <w:sz w:val="20"/>
          <w:szCs w:val="20"/>
        </w:rPr>
        <w:t>so</w:t>
      </w:r>
      <w:r w:rsidR="00271220" w:rsidRPr="00CB45D1">
        <w:rPr>
          <w:rFonts w:ascii="Open Sans" w:hAnsi="Open Sans" w:cs="Open Sans"/>
          <w:sz w:val="20"/>
          <w:szCs w:val="20"/>
        </w:rPr>
        <w:t xml:space="preserve"> bili </w:t>
      </w:r>
      <w:r w:rsidR="004637F6">
        <w:rPr>
          <w:rFonts w:ascii="Open Sans" w:hAnsi="Open Sans" w:cs="Open Sans"/>
          <w:sz w:val="20"/>
          <w:szCs w:val="20"/>
        </w:rPr>
        <w:t xml:space="preserve">za </w:t>
      </w:r>
      <w:r w:rsidR="00CD4CBA">
        <w:rPr>
          <w:rFonts w:ascii="Open Sans" w:hAnsi="Open Sans" w:cs="Open Sans"/>
          <w:sz w:val="20"/>
          <w:szCs w:val="20"/>
        </w:rPr>
        <w:t>23</w:t>
      </w:r>
      <w:r w:rsidR="004E1ED2" w:rsidRPr="00CA57B7">
        <w:rPr>
          <w:rFonts w:ascii="Open Sans" w:hAnsi="Open Sans" w:cs="Open Sans"/>
          <w:sz w:val="20"/>
          <w:szCs w:val="20"/>
        </w:rPr>
        <w:t xml:space="preserve">% </w:t>
      </w:r>
      <w:r w:rsidR="004875FF">
        <w:rPr>
          <w:rFonts w:ascii="Open Sans" w:hAnsi="Open Sans" w:cs="Open Sans"/>
          <w:sz w:val="20"/>
          <w:szCs w:val="20"/>
        </w:rPr>
        <w:t>višji</w:t>
      </w:r>
      <w:r w:rsidR="0081049D" w:rsidRPr="00CB45D1">
        <w:rPr>
          <w:rFonts w:ascii="Open Sans" w:hAnsi="Open Sans" w:cs="Open Sans"/>
          <w:sz w:val="20"/>
          <w:szCs w:val="20"/>
        </w:rPr>
        <w:t xml:space="preserve"> kot v primerljivem obdobju lani</w:t>
      </w:r>
      <w:r w:rsidRPr="00CB45D1">
        <w:rPr>
          <w:rFonts w:ascii="Open Sans" w:hAnsi="Open Sans" w:cs="Open Sans"/>
          <w:sz w:val="20"/>
          <w:szCs w:val="20"/>
        </w:rPr>
        <w:t xml:space="preserve">, ko so znašali </w:t>
      </w:r>
      <w:r w:rsidR="00CE3FD2">
        <w:rPr>
          <w:rFonts w:ascii="Open Sans" w:hAnsi="Open Sans" w:cs="Open Sans"/>
          <w:sz w:val="20"/>
          <w:szCs w:val="20"/>
        </w:rPr>
        <w:t>294.340</w:t>
      </w:r>
      <w:r w:rsidR="003D2B12" w:rsidRPr="00CB45D1">
        <w:rPr>
          <w:rFonts w:ascii="Open Sans" w:hAnsi="Open Sans" w:cs="Open Sans"/>
          <w:sz w:val="20"/>
          <w:szCs w:val="20"/>
        </w:rPr>
        <w:t xml:space="preserve"> </w:t>
      </w:r>
      <w:r w:rsidR="0094690B" w:rsidRPr="00CB45D1">
        <w:rPr>
          <w:rFonts w:ascii="Open Sans" w:hAnsi="Open Sans" w:cs="Open Sans"/>
          <w:sz w:val="20"/>
          <w:szCs w:val="20"/>
        </w:rPr>
        <w:t>EUR</w:t>
      </w:r>
      <w:r w:rsidR="0081049D" w:rsidRPr="006B551D">
        <w:rPr>
          <w:rFonts w:ascii="Open Sans" w:hAnsi="Open Sans" w:cs="Open Sans"/>
          <w:sz w:val="20"/>
          <w:szCs w:val="20"/>
        </w:rPr>
        <w:t>.</w:t>
      </w:r>
      <w:r w:rsidR="000816E6" w:rsidRPr="006B551D">
        <w:rPr>
          <w:rFonts w:ascii="Open Sans" w:hAnsi="Open Sans" w:cs="Open Sans"/>
          <w:sz w:val="20"/>
          <w:szCs w:val="20"/>
        </w:rPr>
        <w:t xml:space="preserve"> </w:t>
      </w:r>
      <w:r w:rsidR="0060401D" w:rsidRPr="006B551D">
        <w:rPr>
          <w:rFonts w:ascii="Open Sans" w:hAnsi="Open Sans" w:cs="Open Sans"/>
          <w:sz w:val="20"/>
          <w:szCs w:val="20"/>
        </w:rPr>
        <w:t xml:space="preserve">Razlog </w:t>
      </w:r>
      <w:r w:rsidR="006B551D" w:rsidRPr="00CD1E00">
        <w:rPr>
          <w:rFonts w:ascii="Open Sans" w:hAnsi="Open Sans" w:cs="Open Sans"/>
          <w:sz w:val="20"/>
          <w:szCs w:val="20"/>
        </w:rPr>
        <w:t>so</w:t>
      </w:r>
      <w:r w:rsidR="006B551D" w:rsidRPr="006B551D">
        <w:rPr>
          <w:rFonts w:ascii="Open Sans" w:hAnsi="Open Sans" w:cs="Open Sans"/>
          <w:sz w:val="20"/>
          <w:szCs w:val="20"/>
        </w:rPr>
        <w:t xml:space="preserve"> </w:t>
      </w:r>
      <w:r w:rsidR="0060401D" w:rsidRPr="006B551D">
        <w:rPr>
          <w:rFonts w:ascii="Open Sans" w:hAnsi="Open Sans" w:cs="Open Sans"/>
          <w:sz w:val="20"/>
          <w:szCs w:val="20"/>
        </w:rPr>
        <w:t>predvsem višj</w:t>
      </w:r>
      <w:r w:rsidR="006B551D" w:rsidRPr="00CD1E00">
        <w:rPr>
          <w:rFonts w:ascii="Open Sans" w:hAnsi="Open Sans" w:cs="Open Sans"/>
          <w:sz w:val="20"/>
          <w:szCs w:val="20"/>
        </w:rPr>
        <w:t>e cene storitev povezanih z upravljanjem in obratovanjem nepremičnin</w:t>
      </w:r>
      <w:r w:rsidR="00AD6FCE" w:rsidRPr="006B551D">
        <w:rPr>
          <w:rFonts w:ascii="Open Sans" w:hAnsi="Open Sans" w:cs="Open Sans"/>
          <w:sz w:val="20"/>
          <w:szCs w:val="20"/>
        </w:rPr>
        <w:t>.</w:t>
      </w:r>
    </w:p>
    <w:p w14:paraId="5F0DB3A0" w14:textId="18AA149B" w:rsidR="008A3BD4" w:rsidRDefault="005F57DD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 xml:space="preserve">Stroški </w:t>
      </w:r>
      <w:r>
        <w:rPr>
          <w:rFonts w:ascii="Open Sans" w:hAnsi="Open Sans" w:cs="Open Sans"/>
          <w:sz w:val="20"/>
          <w:szCs w:val="20"/>
        </w:rPr>
        <w:t>dela</w:t>
      </w:r>
      <w:r w:rsidRPr="00CB45D1">
        <w:rPr>
          <w:rFonts w:ascii="Open Sans" w:hAnsi="Open Sans" w:cs="Open Sans"/>
          <w:sz w:val="20"/>
          <w:szCs w:val="20"/>
        </w:rPr>
        <w:t xml:space="preserve"> so v </w:t>
      </w:r>
      <w:r w:rsidR="00156ECF">
        <w:rPr>
          <w:rFonts w:ascii="Open Sans" w:hAnsi="Open Sans" w:cs="Open Sans"/>
          <w:sz w:val="20"/>
          <w:szCs w:val="20"/>
        </w:rPr>
        <w:t>obdob</w:t>
      </w:r>
      <w:r w:rsidR="00100932">
        <w:rPr>
          <w:rFonts w:ascii="Open Sans" w:hAnsi="Open Sans" w:cs="Open Sans"/>
          <w:sz w:val="20"/>
          <w:szCs w:val="20"/>
        </w:rPr>
        <w:t>ju 1.1. do 30.6</w:t>
      </w:r>
      <w:r w:rsidR="002D0072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2F5B8A">
        <w:rPr>
          <w:rFonts w:ascii="Open Sans" w:hAnsi="Open Sans" w:cs="Open Sans"/>
          <w:sz w:val="20"/>
          <w:szCs w:val="20"/>
        </w:rPr>
        <w:t xml:space="preserve"> znašali </w:t>
      </w:r>
      <w:r w:rsidR="00CE3FD2">
        <w:rPr>
          <w:rFonts w:ascii="Open Sans" w:hAnsi="Open Sans" w:cs="Open Sans"/>
          <w:sz w:val="20"/>
          <w:szCs w:val="20"/>
        </w:rPr>
        <w:t>139.008</w:t>
      </w:r>
      <w:r w:rsidRPr="00CB45D1">
        <w:rPr>
          <w:rFonts w:ascii="Open Sans" w:hAnsi="Open Sans" w:cs="Open Sans"/>
          <w:sz w:val="20"/>
          <w:szCs w:val="20"/>
        </w:rPr>
        <w:t xml:space="preserve"> EUR</w:t>
      </w:r>
      <w:r w:rsidR="00E1339C">
        <w:rPr>
          <w:rFonts w:ascii="Open Sans" w:hAnsi="Open Sans" w:cs="Open Sans"/>
          <w:sz w:val="20"/>
          <w:szCs w:val="20"/>
        </w:rPr>
        <w:t xml:space="preserve"> </w:t>
      </w:r>
      <w:r w:rsidRPr="00CB45D1">
        <w:rPr>
          <w:rFonts w:ascii="Open Sans" w:hAnsi="Open Sans" w:cs="Open Sans"/>
          <w:sz w:val="20"/>
          <w:szCs w:val="20"/>
        </w:rPr>
        <w:t xml:space="preserve">in so </w:t>
      </w:r>
      <w:r w:rsidR="00100932">
        <w:rPr>
          <w:rFonts w:ascii="Open Sans" w:hAnsi="Open Sans" w:cs="Open Sans"/>
          <w:sz w:val="20"/>
          <w:szCs w:val="20"/>
        </w:rPr>
        <w:t>na enakem nivoju</w:t>
      </w:r>
      <w:r w:rsidRPr="00EA06AA">
        <w:rPr>
          <w:rFonts w:ascii="Open Sans" w:hAnsi="Open Sans" w:cs="Open Sans"/>
          <w:sz w:val="20"/>
          <w:szCs w:val="20"/>
        </w:rPr>
        <w:t xml:space="preserve"> </w:t>
      </w:r>
      <w:r w:rsidRPr="00CB45D1">
        <w:rPr>
          <w:rFonts w:ascii="Open Sans" w:hAnsi="Open Sans" w:cs="Open Sans"/>
          <w:sz w:val="20"/>
          <w:szCs w:val="20"/>
        </w:rPr>
        <w:t xml:space="preserve">kot v primerljivem obdobju lani, ko so znašali </w:t>
      </w:r>
      <w:r w:rsidR="00CE3FD2">
        <w:rPr>
          <w:rFonts w:ascii="Open Sans" w:hAnsi="Open Sans" w:cs="Open Sans"/>
          <w:sz w:val="20"/>
          <w:szCs w:val="20"/>
        </w:rPr>
        <w:t>130.493</w:t>
      </w:r>
      <w:r w:rsidRPr="00CB45D1">
        <w:rPr>
          <w:rFonts w:ascii="Open Sans" w:hAnsi="Open Sans" w:cs="Open Sans"/>
          <w:sz w:val="20"/>
          <w:szCs w:val="20"/>
        </w:rPr>
        <w:t xml:space="preserve"> EUR.</w:t>
      </w:r>
      <w:r w:rsidR="009C55DE">
        <w:rPr>
          <w:rFonts w:ascii="Open Sans" w:hAnsi="Open Sans" w:cs="Open Sans"/>
          <w:sz w:val="20"/>
          <w:szCs w:val="20"/>
        </w:rPr>
        <w:t xml:space="preserve"> </w:t>
      </w:r>
    </w:p>
    <w:p w14:paraId="5BF18987" w14:textId="5CFBBF81" w:rsidR="00F56106" w:rsidRDefault="008A3BD4" w:rsidP="0092421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Družba je v </w:t>
      </w:r>
      <w:r w:rsidR="001E3276">
        <w:rPr>
          <w:rFonts w:ascii="Open Sans" w:hAnsi="Open Sans" w:cs="Open Sans"/>
          <w:sz w:val="20"/>
          <w:szCs w:val="20"/>
        </w:rPr>
        <w:t xml:space="preserve">obdobju 1.1. do 30.6.2022 </w:t>
      </w:r>
      <w:r w:rsidR="00324F2C">
        <w:rPr>
          <w:rFonts w:ascii="Open Sans" w:hAnsi="Open Sans" w:cs="Open Sans"/>
          <w:sz w:val="20"/>
          <w:szCs w:val="20"/>
        </w:rPr>
        <w:t xml:space="preserve">realizirala 167.968 EUR drugih poslovnih odhodkov (1.1. – 30.6.2021: 101.493 EUR). Povišanje drugih poslovnih odhodkov </w:t>
      </w:r>
      <w:r w:rsidR="00596179">
        <w:rPr>
          <w:rFonts w:ascii="Open Sans" w:hAnsi="Open Sans" w:cs="Open Sans"/>
          <w:sz w:val="20"/>
          <w:szCs w:val="20"/>
        </w:rPr>
        <w:t xml:space="preserve">v prvem polletju 2022 napram primerljivem obdobju lani </w:t>
      </w:r>
      <w:r w:rsidR="00324F2C">
        <w:rPr>
          <w:rFonts w:ascii="Open Sans" w:hAnsi="Open Sans" w:cs="Open Sans"/>
          <w:sz w:val="20"/>
          <w:szCs w:val="20"/>
        </w:rPr>
        <w:t xml:space="preserve">je posledica </w:t>
      </w:r>
      <w:r w:rsidR="00596179">
        <w:rPr>
          <w:rFonts w:ascii="Open Sans" w:hAnsi="Open Sans" w:cs="Open Sans"/>
          <w:sz w:val="20"/>
          <w:szCs w:val="20"/>
        </w:rPr>
        <w:t>odpisa najemnin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596179">
        <w:rPr>
          <w:rFonts w:ascii="Open Sans" w:hAnsi="Open Sans" w:cs="Open Sans"/>
          <w:sz w:val="20"/>
          <w:szCs w:val="20"/>
        </w:rPr>
        <w:t xml:space="preserve">obstoječim najemnikom, zlasti v prvem kvartalu 2022. </w:t>
      </w:r>
    </w:p>
    <w:p w14:paraId="40EE9D04" w14:textId="77777777" w:rsidR="008B04E8" w:rsidRPr="008D521F" w:rsidRDefault="008B04E8" w:rsidP="00924219">
      <w:pPr>
        <w:jc w:val="both"/>
        <w:rPr>
          <w:rFonts w:ascii="Open Sans" w:hAnsi="Open Sans" w:cs="Open Sans"/>
          <w:sz w:val="20"/>
          <w:szCs w:val="20"/>
        </w:rPr>
      </w:pPr>
    </w:p>
    <w:p w14:paraId="0B6B274C" w14:textId="06765249" w:rsidR="0073641D" w:rsidRPr="00CD1E00" w:rsidRDefault="0073641D" w:rsidP="0073641D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CD1E00">
        <w:rPr>
          <w:rFonts w:ascii="Open Sans" w:hAnsi="Open Sans" w:cs="Open Sans"/>
          <w:b/>
          <w:sz w:val="20"/>
          <w:szCs w:val="20"/>
        </w:rPr>
        <w:t>Finančni položaj dr</w:t>
      </w:r>
      <w:r w:rsidR="00B20C75" w:rsidRPr="00CD1E00">
        <w:rPr>
          <w:rFonts w:ascii="Open Sans" w:hAnsi="Open Sans" w:cs="Open Sans"/>
          <w:b/>
          <w:sz w:val="20"/>
          <w:szCs w:val="20"/>
        </w:rPr>
        <w:t>užbe NAMA d.d. L</w:t>
      </w:r>
      <w:r w:rsidR="00FD5246" w:rsidRPr="00CD1E00">
        <w:rPr>
          <w:rFonts w:ascii="Open Sans" w:hAnsi="Open Sans" w:cs="Open Sans"/>
          <w:b/>
          <w:sz w:val="20"/>
          <w:szCs w:val="20"/>
        </w:rPr>
        <w:t xml:space="preserve">jubljana na </w:t>
      </w:r>
      <w:r w:rsidR="00913974" w:rsidRPr="00CD1E00">
        <w:rPr>
          <w:rFonts w:ascii="Open Sans" w:hAnsi="Open Sans" w:cs="Open Sans"/>
          <w:b/>
          <w:sz w:val="20"/>
          <w:szCs w:val="20"/>
        </w:rPr>
        <w:t xml:space="preserve">dan </w:t>
      </w:r>
      <w:r w:rsidR="00FD5246" w:rsidRPr="00CD1E00">
        <w:rPr>
          <w:rFonts w:ascii="Open Sans" w:hAnsi="Open Sans" w:cs="Open Sans"/>
          <w:b/>
          <w:sz w:val="20"/>
          <w:szCs w:val="20"/>
        </w:rPr>
        <w:t>30.6</w:t>
      </w:r>
      <w:r w:rsidR="000F3A24" w:rsidRPr="00CD1E00">
        <w:rPr>
          <w:rFonts w:ascii="Open Sans" w:hAnsi="Open Sans" w:cs="Open Sans"/>
          <w:b/>
          <w:sz w:val="20"/>
          <w:szCs w:val="20"/>
        </w:rPr>
        <w:t>.</w:t>
      </w:r>
      <w:r w:rsidR="00B20C75" w:rsidRPr="00CD1E00">
        <w:rPr>
          <w:rFonts w:ascii="Open Sans" w:hAnsi="Open Sans" w:cs="Open Sans"/>
          <w:b/>
          <w:sz w:val="20"/>
          <w:szCs w:val="20"/>
        </w:rPr>
        <w:t>202</w:t>
      </w:r>
      <w:r w:rsidR="00913974" w:rsidRPr="00CD1E00">
        <w:rPr>
          <w:rFonts w:ascii="Open Sans" w:hAnsi="Open Sans" w:cs="Open Sans"/>
          <w:b/>
          <w:sz w:val="20"/>
          <w:szCs w:val="20"/>
        </w:rPr>
        <w:t>2</w:t>
      </w:r>
    </w:p>
    <w:p w14:paraId="28CF4070" w14:textId="1E195BB2" w:rsidR="0073641D" w:rsidRPr="00992E71" w:rsidRDefault="00826FE0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Bilančna vsota družbe</w:t>
      </w:r>
      <w:r w:rsidR="00A0442D">
        <w:rPr>
          <w:rFonts w:ascii="Open Sans" w:hAnsi="Open Sans" w:cs="Open Sans"/>
          <w:sz w:val="20"/>
          <w:szCs w:val="20"/>
        </w:rPr>
        <w:t xml:space="preserve"> na dan 30.6</w:t>
      </w:r>
      <w:r w:rsidR="00D26A0A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720B94" w:rsidRPr="00992E71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znaša</w:t>
      </w:r>
      <w:r w:rsidR="00736DBF">
        <w:rPr>
          <w:rFonts w:ascii="Open Sans" w:hAnsi="Open Sans" w:cs="Open Sans"/>
          <w:sz w:val="20"/>
          <w:szCs w:val="20"/>
        </w:rPr>
        <w:t xml:space="preserve"> </w:t>
      </w:r>
      <w:r w:rsidR="00D4552E">
        <w:rPr>
          <w:rFonts w:ascii="Open Sans" w:hAnsi="Open Sans" w:cs="Open Sans"/>
          <w:sz w:val="20"/>
          <w:szCs w:val="20"/>
        </w:rPr>
        <w:t>11.568.486</w:t>
      </w:r>
      <w:r w:rsidR="00720B94" w:rsidRPr="00992E71">
        <w:rPr>
          <w:rFonts w:ascii="Open Sans" w:hAnsi="Open Sans" w:cs="Open Sans"/>
          <w:sz w:val="20"/>
          <w:szCs w:val="20"/>
        </w:rPr>
        <w:t xml:space="preserve"> EUR</w:t>
      </w:r>
      <w:r w:rsidR="004649B4">
        <w:rPr>
          <w:rFonts w:ascii="Open Sans" w:hAnsi="Open Sans" w:cs="Open Sans"/>
          <w:sz w:val="20"/>
          <w:szCs w:val="20"/>
        </w:rPr>
        <w:t xml:space="preserve"> in </w:t>
      </w:r>
      <w:r w:rsidR="00D4552E">
        <w:rPr>
          <w:rFonts w:ascii="Open Sans" w:hAnsi="Open Sans" w:cs="Open Sans"/>
          <w:sz w:val="20"/>
          <w:szCs w:val="20"/>
        </w:rPr>
        <w:t>je na enakem nivoju kot</w:t>
      </w:r>
      <w:r w:rsidR="00335089" w:rsidRPr="00992E71">
        <w:rPr>
          <w:rFonts w:ascii="Open Sans" w:hAnsi="Open Sans" w:cs="Open Sans"/>
          <w:sz w:val="20"/>
          <w:szCs w:val="20"/>
        </w:rPr>
        <w:t xml:space="preserve"> bilančn</w:t>
      </w:r>
      <w:r w:rsidR="00D4552E">
        <w:rPr>
          <w:rFonts w:ascii="Open Sans" w:hAnsi="Open Sans" w:cs="Open Sans"/>
          <w:sz w:val="20"/>
          <w:szCs w:val="20"/>
        </w:rPr>
        <w:t>a</w:t>
      </w:r>
      <w:r w:rsidR="00335089" w:rsidRPr="00992E71">
        <w:rPr>
          <w:rFonts w:ascii="Open Sans" w:hAnsi="Open Sans" w:cs="Open Sans"/>
          <w:sz w:val="20"/>
          <w:szCs w:val="20"/>
        </w:rPr>
        <w:t xml:space="preserve"> v</w:t>
      </w:r>
      <w:r w:rsidR="006434CC">
        <w:rPr>
          <w:rFonts w:ascii="Open Sans" w:hAnsi="Open Sans" w:cs="Open Sans"/>
          <w:sz w:val="20"/>
          <w:szCs w:val="20"/>
        </w:rPr>
        <w:t>sot</w:t>
      </w:r>
      <w:r w:rsidR="00D4552E">
        <w:rPr>
          <w:rFonts w:ascii="Open Sans" w:hAnsi="Open Sans" w:cs="Open Sans"/>
          <w:sz w:val="20"/>
          <w:szCs w:val="20"/>
        </w:rPr>
        <w:t>a</w:t>
      </w:r>
      <w:r w:rsidR="006434CC">
        <w:rPr>
          <w:rFonts w:ascii="Open Sans" w:hAnsi="Open Sans" w:cs="Open Sans"/>
          <w:sz w:val="20"/>
          <w:szCs w:val="20"/>
        </w:rPr>
        <w:t>, izkazan</w:t>
      </w:r>
      <w:r w:rsidR="00D4552E">
        <w:rPr>
          <w:rFonts w:ascii="Open Sans" w:hAnsi="Open Sans" w:cs="Open Sans"/>
          <w:sz w:val="20"/>
          <w:szCs w:val="20"/>
        </w:rPr>
        <w:t>a</w:t>
      </w:r>
      <w:r w:rsidR="006434CC">
        <w:rPr>
          <w:rFonts w:ascii="Open Sans" w:hAnsi="Open Sans" w:cs="Open Sans"/>
          <w:sz w:val="20"/>
          <w:szCs w:val="20"/>
        </w:rPr>
        <w:t xml:space="preserve"> na dan 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D40BD1">
        <w:rPr>
          <w:rFonts w:ascii="Open Sans" w:hAnsi="Open Sans" w:cs="Open Sans"/>
          <w:sz w:val="20"/>
          <w:szCs w:val="20"/>
        </w:rPr>
        <w:t>,</w:t>
      </w:r>
      <w:r w:rsidR="00F2451C">
        <w:rPr>
          <w:rFonts w:ascii="Open Sans" w:hAnsi="Open Sans" w:cs="Open Sans"/>
          <w:sz w:val="20"/>
          <w:szCs w:val="20"/>
        </w:rPr>
        <w:t xml:space="preserve"> ko je ta znašala</w:t>
      </w:r>
      <w:r w:rsidR="00F2451C" w:rsidRPr="00D14EF3">
        <w:rPr>
          <w:rFonts w:ascii="Open Sans" w:hAnsi="Open Sans" w:cs="Open Sans"/>
          <w:sz w:val="20"/>
          <w:szCs w:val="20"/>
        </w:rPr>
        <w:t xml:space="preserve"> </w:t>
      </w:r>
      <w:r w:rsidR="00D4552E">
        <w:rPr>
          <w:rFonts w:ascii="Open Sans" w:hAnsi="Open Sans" w:cs="Open Sans"/>
          <w:sz w:val="20"/>
          <w:szCs w:val="20"/>
        </w:rPr>
        <w:t>11.694.250</w:t>
      </w:r>
      <w:r w:rsidR="00D14EF3">
        <w:rPr>
          <w:rFonts w:ascii="Open Sans" w:hAnsi="Open Sans" w:cs="Open Sans"/>
          <w:sz w:val="20"/>
          <w:szCs w:val="20"/>
        </w:rPr>
        <w:t xml:space="preserve"> EUR</w:t>
      </w:r>
      <w:r w:rsidR="000F3A24">
        <w:rPr>
          <w:rFonts w:ascii="Open Sans" w:hAnsi="Open Sans" w:cs="Open Sans"/>
          <w:sz w:val="20"/>
          <w:szCs w:val="20"/>
        </w:rPr>
        <w:t>.</w:t>
      </w:r>
    </w:p>
    <w:p w14:paraId="31E7DA83" w14:textId="0E7B6FFA" w:rsidR="00C83696" w:rsidRPr="002C5665" w:rsidRDefault="00C83696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Največji del sredstev družbe se nanaša na </w:t>
      </w:r>
      <w:r w:rsidR="00A32027">
        <w:rPr>
          <w:rFonts w:ascii="Open Sans" w:hAnsi="Open Sans" w:cs="Open Sans"/>
          <w:sz w:val="20"/>
          <w:szCs w:val="20"/>
        </w:rPr>
        <w:t xml:space="preserve">osnovna sredstva in </w:t>
      </w:r>
      <w:r w:rsidRPr="00992E71">
        <w:rPr>
          <w:rFonts w:ascii="Open Sans" w:hAnsi="Open Sans" w:cs="Open Sans"/>
          <w:sz w:val="20"/>
          <w:szCs w:val="20"/>
        </w:rPr>
        <w:t>naložbene nepremič</w:t>
      </w:r>
      <w:r w:rsidR="00E16976">
        <w:rPr>
          <w:rFonts w:ascii="Open Sans" w:hAnsi="Open Sans" w:cs="Open Sans"/>
          <w:sz w:val="20"/>
          <w:szCs w:val="20"/>
        </w:rPr>
        <w:t xml:space="preserve">nine, ki skupaj predstavljajo </w:t>
      </w:r>
      <w:r w:rsidR="001F1E2F">
        <w:rPr>
          <w:rFonts w:ascii="Open Sans" w:hAnsi="Open Sans" w:cs="Open Sans"/>
          <w:sz w:val="20"/>
          <w:szCs w:val="20"/>
        </w:rPr>
        <w:t>51</w:t>
      </w:r>
      <w:r w:rsidR="0053403B">
        <w:rPr>
          <w:rFonts w:ascii="Open Sans" w:hAnsi="Open Sans" w:cs="Open Sans"/>
          <w:sz w:val="20"/>
          <w:szCs w:val="20"/>
        </w:rPr>
        <w:t>%</w:t>
      </w:r>
      <w:r w:rsidR="006434CC">
        <w:rPr>
          <w:rFonts w:ascii="Open Sans" w:hAnsi="Open Sans" w:cs="Open Sans"/>
          <w:sz w:val="20"/>
          <w:szCs w:val="20"/>
        </w:rPr>
        <w:t xml:space="preserve"> bilančne vsote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A81553">
        <w:rPr>
          <w:rFonts w:ascii="Open Sans" w:hAnsi="Open Sans" w:cs="Open Sans"/>
          <w:sz w:val="20"/>
          <w:szCs w:val="20"/>
        </w:rPr>
        <w:t xml:space="preserve">: </w:t>
      </w:r>
      <w:r w:rsidR="00D4552E">
        <w:rPr>
          <w:rFonts w:ascii="Open Sans" w:hAnsi="Open Sans" w:cs="Open Sans"/>
          <w:sz w:val="20"/>
          <w:szCs w:val="20"/>
        </w:rPr>
        <w:t>4</w:t>
      </w:r>
      <w:r w:rsidR="001F1E2F">
        <w:rPr>
          <w:rFonts w:ascii="Open Sans" w:hAnsi="Open Sans" w:cs="Open Sans"/>
          <w:sz w:val="20"/>
          <w:szCs w:val="20"/>
        </w:rPr>
        <w:t>6</w:t>
      </w:r>
      <w:r w:rsidRPr="00992E71">
        <w:rPr>
          <w:rFonts w:ascii="Open Sans" w:hAnsi="Open Sans" w:cs="Open Sans"/>
          <w:sz w:val="20"/>
          <w:szCs w:val="20"/>
        </w:rPr>
        <w:t xml:space="preserve">%). </w:t>
      </w:r>
      <w:r w:rsidR="00222042" w:rsidRPr="002C5665">
        <w:rPr>
          <w:rFonts w:ascii="Open Sans" w:hAnsi="Open Sans" w:cs="Open Sans"/>
          <w:sz w:val="20"/>
          <w:szCs w:val="20"/>
        </w:rPr>
        <w:t xml:space="preserve">Višina naložbenih nepremičnin se </w:t>
      </w:r>
      <w:r w:rsidR="00026EB9">
        <w:rPr>
          <w:rFonts w:ascii="Open Sans" w:hAnsi="Open Sans" w:cs="Open Sans"/>
          <w:sz w:val="20"/>
          <w:szCs w:val="20"/>
        </w:rPr>
        <w:t xml:space="preserve">je v </w:t>
      </w:r>
      <w:r w:rsidR="00EA629C">
        <w:rPr>
          <w:rFonts w:ascii="Open Sans" w:hAnsi="Open Sans" w:cs="Open Sans"/>
          <w:sz w:val="20"/>
          <w:szCs w:val="20"/>
        </w:rPr>
        <w:t xml:space="preserve">prvih </w:t>
      </w:r>
      <w:r w:rsidR="006E6FCE">
        <w:rPr>
          <w:rFonts w:ascii="Open Sans" w:hAnsi="Open Sans" w:cs="Open Sans"/>
          <w:sz w:val="20"/>
          <w:szCs w:val="20"/>
        </w:rPr>
        <w:t>šestih</w:t>
      </w:r>
      <w:r w:rsidR="00EA629C">
        <w:rPr>
          <w:rFonts w:ascii="Open Sans" w:hAnsi="Open Sans" w:cs="Open Sans"/>
          <w:sz w:val="20"/>
          <w:szCs w:val="20"/>
        </w:rPr>
        <w:t xml:space="preserve"> mesecih</w:t>
      </w:r>
      <w:r w:rsidR="00A81553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222042" w:rsidRPr="002C5665">
        <w:rPr>
          <w:rFonts w:ascii="Open Sans" w:hAnsi="Open Sans" w:cs="Open Sans"/>
          <w:sz w:val="20"/>
          <w:szCs w:val="20"/>
        </w:rPr>
        <w:t xml:space="preserve"> </w:t>
      </w:r>
      <w:r w:rsidR="00D4552E">
        <w:rPr>
          <w:rFonts w:ascii="Open Sans" w:hAnsi="Open Sans" w:cs="Open Sans"/>
          <w:sz w:val="20"/>
          <w:szCs w:val="20"/>
        </w:rPr>
        <w:t xml:space="preserve">povečala </w:t>
      </w:r>
      <w:r w:rsidR="00C87E63">
        <w:rPr>
          <w:rFonts w:ascii="Open Sans" w:hAnsi="Open Sans" w:cs="Open Sans"/>
          <w:sz w:val="20"/>
          <w:szCs w:val="20"/>
        </w:rPr>
        <w:t xml:space="preserve">za </w:t>
      </w:r>
      <w:r w:rsidR="00D4552E">
        <w:rPr>
          <w:rFonts w:ascii="Open Sans" w:hAnsi="Open Sans" w:cs="Open Sans"/>
          <w:sz w:val="20"/>
          <w:szCs w:val="20"/>
        </w:rPr>
        <w:t>14</w:t>
      </w:r>
      <w:r w:rsidR="00026EB9">
        <w:rPr>
          <w:rFonts w:ascii="Open Sans" w:hAnsi="Open Sans" w:cs="Open Sans"/>
          <w:sz w:val="20"/>
          <w:szCs w:val="20"/>
        </w:rPr>
        <w:t>%</w:t>
      </w:r>
      <w:r w:rsidR="00A32027">
        <w:rPr>
          <w:rFonts w:ascii="Open Sans" w:hAnsi="Open Sans" w:cs="Open Sans"/>
          <w:sz w:val="20"/>
          <w:szCs w:val="20"/>
        </w:rPr>
        <w:t xml:space="preserve">, predvsem iz naslova </w:t>
      </w:r>
      <w:r w:rsidR="00270A39">
        <w:rPr>
          <w:rFonts w:ascii="Open Sans" w:hAnsi="Open Sans" w:cs="Open Sans"/>
          <w:sz w:val="20"/>
          <w:szCs w:val="20"/>
        </w:rPr>
        <w:t xml:space="preserve">nakupa </w:t>
      </w:r>
      <w:r w:rsidR="00C025EF">
        <w:rPr>
          <w:rFonts w:ascii="Open Sans" w:hAnsi="Open Sans" w:cs="Open Sans"/>
          <w:sz w:val="20"/>
          <w:szCs w:val="20"/>
        </w:rPr>
        <w:t>dodatnih poslovnih prostorov razpoložljivih za oddajo.</w:t>
      </w:r>
    </w:p>
    <w:p w14:paraId="464239B2" w14:textId="68553A64" w:rsidR="00717365" w:rsidRDefault="00A32027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40</w:t>
      </w:r>
      <w:r w:rsidR="00A5176F" w:rsidRPr="00992E71">
        <w:rPr>
          <w:rFonts w:ascii="Open Sans" w:hAnsi="Open Sans" w:cs="Open Sans"/>
          <w:sz w:val="20"/>
          <w:szCs w:val="20"/>
        </w:rPr>
        <w:t>% sredstev družbe predstavlj</w:t>
      </w:r>
      <w:r w:rsidR="00094741">
        <w:rPr>
          <w:rFonts w:ascii="Open Sans" w:hAnsi="Open Sans" w:cs="Open Sans"/>
          <w:sz w:val="20"/>
          <w:szCs w:val="20"/>
        </w:rPr>
        <w:t>ajo finančne naložbe</w:t>
      </w:r>
      <w:r w:rsidR="0053403B">
        <w:rPr>
          <w:rFonts w:ascii="Open Sans" w:hAnsi="Open Sans" w:cs="Open Sans"/>
          <w:sz w:val="20"/>
          <w:szCs w:val="20"/>
        </w:rPr>
        <w:t xml:space="preserve"> in denarna sre</w:t>
      </w:r>
      <w:r w:rsidR="00254F44">
        <w:rPr>
          <w:rFonts w:ascii="Open Sans" w:hAnsi="Open Sans" w:cs="Open Sans"/>
          <w:sz w:val="20"/>
          <w:szCs w:val="20"/>
        </w:rPr>
        <w:t>dstva, ki na 30.6</w:t>
      </w:r>
      <w:r w:rsidR="00B1389B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A5176F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254F44">
        <w:rPr>
          <w:rFonts w:ascii="Open Sans" w:hAnsi="Open Sans" w:cs="Open Sans"/>
          <w:sz w:val="20"/>
          <w:szCs w:val="20"/>
        </w:rPr>
        <w:t>4.</w:t>
      </w:r>
      <w:r>
        <w:rPr>
          <w:rFonts w:ascii="Open Sans" w:hAnsi="Open Sans" w:cs="Open Sans"/>
          <w:sz w:val="20"/>
          <w:szCs w:val="20"/>
        </w:rPr>
        <w:t>605.900</w:t>
      </w:r>
      <w:r w:rsidR="00B1389B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A5176F" w:rsidRPr="00992E71">
        <w:rPr>
          <w:rFonts w:ascii="Open Sans" w:hAnsi="Open Sans" w:cs="Open Sans"/>
          <w:sz w:val="20"/>
          <w:szCs w:val="20"/>
        </w:rPr>
        <w:t xml:space="preserve">: </w:t>
      </w:r>
      <w:r>
        <w:rPr>
          <w:rFonts w:ascii="Open Sans" w:hAnsi="Open Sans" w:cs="Open Sans"/>
          <w:sz w:val="20"/>
          <w:szCs w:val="20"/>
        </w:rPr>
        <w:t>5.955.764</w:t>
      </w:r>
      <w:r w:rsidR="00A5176F" w:rsidRPr="00992E71">
        <w:rPr>
          <w:rFonts w:ascii="Open Sans" w:hAnsi="Open Sans" w:cs="Open Sans"/>
          <w:sz w:val="20"/>
          <w:szCs w:val="20"/>
        </w:rPr>
        <w:t xml:space="preserve"> EUR). </w:t>
      </w:r>
    </w:p>
    <w:p w14:paraId="210D9A8B" w14:textId="4880A226" w:rsidR="007F3EB5" w:rsidRPr="00B424AA" w:rsidRDefault="007F3EB5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Ostala sredstva družbe se </w:t>
      </w:r>
      <w:r w:rsidRPr="00B424AA">
        <w:rPr>
          <w:rFonts w:ascii="Open Sans" w:hAnsi="Open Sans" w:cs="Open Sans"/>
          <w:sz w:val="20"/>
          <w:szCs w:val="20"/>
        </w:rPr>
        <w:t>nanašajo predvsem na poslovne</w:t>
      </w:r>
      <w:r w:rsidR="00F64A4A" w:rsidRPr="00B424AA">
        <w:rPr>
          <w:rFonts w:ascii="Open Sans" w:hAnsi="Open Sans" w:cs="Open Sans"/>
          <w:sz w:val="20"/>
          <w:szCs w:val="20"/>
        </w:rPr>
        <w:t xml:space="preserve"> terj</w:t>
      </w:r>
      <w:r w:rsidR="00495D7B">
        <w:rPr>
          <w:rFonts w:ascii="Open Sans" w:hAnsi="Open Sans" w:cs="Open Sans"/>
          <w:sz w:val="20"/>
          <w:szCs w:val="20"/>
        </w:rPr>
        <w:t>atve, ki na dan 30</w:t>
      </w:r>
      <w:r w:rsidR="00DC7337" w:rsidRPr="001A4A3C">
        <w:rPr>
          <w:rFonts w:ascii="Open Sans" w:hAnsi="Open Sans" w:cs="Open Sans"/>
          <w:sz w:val="20"/>
          <w:szCs w:val="20"/>
        </w:rPr>
        <w:t>.</w:t>
      </w:r>
      <w:r w:rsidR="00495D7B">
        <w:rPr>
          <w:rFonts w:ascii="Open Sans" w:hAnsi="Open Sans" w:cs="Open Sans"/>
          <w:sz w:val="20"/>
          <w:szCs w:val="20"/>
        </w:rPr>
        <w:t>6</w:t>
      </w:r>
      <w:r w:rsidR="006963EB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183B7B" w:rsidRPr="00B424AA">
        <w:rPr>
          <w:rFonts w:ascii="Open Sans" w:hAnsi="Open Sans" w:cs="Open Sans"/>
          <w:sz w:val="20"/>
          <w:szCs w:val="20"/>
        </w:rPr>
        <w:t xml:space="preserve"> znašajo </w:t>
      </w:r>
      <w:r w:rsidR="00C62AD4" w:rsidRPr="00B424AA">
        <w:rPr>
          <w:rFonts w:ascii="Open Sans" w:hAnsi="Open Sans" w:cs="Open Sans"/>
          <w:sz w:val="20"/>
          <w:szCs w:val="20"/>
        </w:rPr>
        <w:t xml:space="preserve"> </w:t>
      </w:r>
      <w:r w:rsidR="001F1E2F">
        <w:rPr>
          <w:rFonts w:ascii="Open Sans" w:hAnsi="Open Sans" w:cs="Open Sans"/>
          <w:sz w:val="20"/>
          <w:szCs w:val="20"/>
        </w:rPr>
        <w:t>886.753</w:t>
      </w:r>
      <w:r w:rsidR="00C336EC" w:rsidRPr="00B424AA">
        <w:rPr>
          <w:rFonts w:ascii="Open Sans" w:hAnsi="Open Sans" w:cs="Open Sans"/>
          <w:sz w:val="20"/>
          <w:szCs w:val="20"/>
        </w:rPr>
        <w:t xml:space="preserve"> </w:t>
      </w:r>
      <w:r w:rsidR="006963EB">
        <w:rPr>
          <w:rFonts w:ascii="Open Sans" w:hAnsi="Open Sans" w:cs="Open Sans"/>
          <w:sz w:val="20"/>
          <w:szCs w:val="20"/>
        </w:rPr>
        <w:t>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B424AA">
        <w:rPr>
          <w:rFonts w:ascii="Open Sans" w:hAnsi="Open Sans" w:cs="Open Sans"/>
          <w:sz w:val="20"/>
          <w:szCs w:val="20"/>
        </w:rPr>
        <w:t xml:space="preserve">: </w:t>
      </w:r>
      <w:r w:rsidR="001F1E2F">
        <w:rPr>
          <w:rFonts w:ascii="Open Sans" w:hAnsi="Open Sans" w:cs="Open Sans"/>
          <w:sz w:val="20"/>
          <w:szCs w:val="20"/>
        </w:rPr>
        <w:t>295.895</w:t>
      </w:r>
      <w:r w:rsidRPr="00B424AA">
        <w:rPr>
          <w:rFonts w:ascii="Open Sans" w:hAnsi="Open Sans" w:cs="Open Sans"/>
          <w:sz w:val="20"/>
          <w:szCs w:val="20"/>
        </w:rPr>
        <w:t xml:space="preserve"> EUR).</w:t>
      </w:r>
      <w:r w:rsidR="00007520" w:rsidRPr="00B424AA">
        <w:rPr>
          <w:rFonts w:ascii="Open Sans" w:hAnsi="Open Sans" w:cs="Open Sans"/>
          <w:sz w:val="20"/>
          <w:szCs w:val="20"/>
        </w:rPr>
        <w:t xml:space="preserve"> </w:t>
      </w:r>
    </w:p>
    <w:p w14:paraId="21EE8B6F" w14:textId="27EA4C52" w:rsidR="00C74E1A" w:rsidRPr="00992E71" w:rsidRDefault="000B7C20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8</w:t>
      </w:r>
      <w:r w:rsidR="00645480">
        <w:rPr>
          <w:rFonts w:ascii="Open Sans" w:hAnsi="Open Sans" w:cs="Open Sans"/>
          <w:sz w:val="20"/>
          <w:szCs w:val="20"/>
        </w:rPr>
        <w:t>9</w:t>
      </w:r>
      <w:r w:rsidR="00C74E1A" w:rsidRPr="00B424AA">
        <w:rPr>
          <w:rFonts w:ascii="Open Sans" w:hAnsi="Open Sans" w:cs="Open Sans"/>
          <w:sz w:val="20"/>
          <w:szCs w:val="20"/>
        </w:rPr>
        <w:t>% sredstev družbe je financiranih iz</w:t>
      </w:r>
      <w:r w:rsidR="00C74E1A" w:rsidRPr="00992E71">
        <w:rPr>
          <w:rFonts w:ascii="Open Sans" w:hAnsi="Open Sans" w:cs="Open Sans"/>
          <w:sz w:val="20"/>
          <w:szCs w:val="20"/>
        </w:rPr>
        <w:t xml:space="preserve"> lastniškega kapitala. </w:t>
      </w:r>
      <w:r w:rsidR="00CE6337" w:rsidRPr="00992E71">
        <w:rPr>
          <w:rFonts w:ascii="Open Sans" w:hAnsi="Open Sans" w:cs="Open Sans"/>
          <w:sz w:val="20"/>
          <w:szCs w:val="20"/>
        </w:rPr>
        <w:t>Družba svojega poslovanj</w:t>
      </w:r>
      <w:r w:rsidR="00A31E4B">
        <w:rPr>
          <w:rFonts w:ascii="Open Sans" w:hAnsi="Open Sans" w:cs="Open Sans"/>
          <w:sz w:val="20"/>
          <w:szCs w:val="20"/>
        </w:rPr>
        <w:t>a ne financira z zadolževanjem</w:t>
      </w:r>
      <w:r w:rsidR="00645480">
        <w:rPr>
          <w:rFonts w:ascii="Open Sans" w:hAnsi="Open Sans" w:cs="Open Sans"/>
          <w:sz w:val="20"/>
          <w:szCs w:val="20"/>
        </w:rPr>
        <w:t>.</w:t>
      </w:r>
      <w:r w:rsidR="00F87C2D">
        <w:rPr>
          <w:rFonts w:ascii="Open Sans" w:hAnsi="Open Sans" w:cs="Open Sans"/>
          <w:sz w:val="20"/>
          <w:szCs w:val="20"/>
        </w:rPr>
        <w:t xml:space="preserve"> </w:t>
      </w:r>
    </w:p>
    <w:p w14:paraId="3D69E2D1" w14:textId="7871B13D" w:rsidR="00CB07E3" w:rsidRDefault="00645480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P</w:t>
      </w:r>
      <w:r w:rsidR="00F32266">
        <w:rPr>
          <w:rFonts w:ascii="Open Sans" w:hAnsi="Open Sans" w:cs="Open Sans"/>
          <w:sz w:val="20"/>
          <w:szCs w:val="20"/>
        </w:rPr>
        <w:t xml:space="preserve">oslovne obveznosti na </w:t>
      </w:r>
      <w:r w:rsidR="005050C8">
        <w:rPr>
          <w:rFonts w:ascii="Open Sans" w:hAnsi="Open Sans" w:cs="Open Sans"/>
          <w:sz w:val="20"/>
          <w:szCs w:val="20"/>
        </w:rPr>
        <w:t xml:space="preserve">dan </w:t>
      </w:r>
      <w:r w:rsidR="0083210B">
        <w:rPr>
          <w:rFonts w:ascii="Open Sans" w:hAnsi="Open Sans" w:cs="Open Sans"/>
          <w:sz w:val="20"/>
          <w:szCs w:val="20"/>
        </w:rPr>
        <w:t>30.6</w:t>
      </w:r>
      <w:r w:rsidR="00983731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CE6337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5050C8">
        <w:rPr>
          <w:rFonts w:ascii="Open Sans" w:hAnsi="Open Sans" w:cs="Open Sans"/>
          <w:sz w:val="20"/>
          <w:szCs w:val="20"/>
        </w:rPr>
        <w:t>640.240</w:t>
      </w:r>
      <w:r w:rsidR="00CE6337" w:rsidRPr="00992E71">
        <w:rPr>
          <w:rFonts w:ascii="Open Sans" w:hAnsi="Open Sans" w:cs="Open Sans"/>
          <w:sz w:val="20"/>
          <w:szCs w:val="20"/>
        </w:rPr>
        <w:t xml:space="preserve"> EUR</w:t>
      </w:r>
      <w:r w:rsidR="00983731">
        <w:rPr>
          <w:rFonts w:ascii="Open Sans" w:hAnsi="Open Sans" w:cs="Open Sans"/>
          <w:sz w:val="20"/>
          <w:szCs w:val="20"/>
        </w:rPr>
        <w:t xml:space="preserve"> in so v primerjavi z 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CE6337" w:rsidRPr="00992E71">
        <w:rPr>
          <w:rFonts w:ascii="Open Sans" w:hAnsi="Open Sans" w:cs="Open Sans"/>
          <w:sz w:val="20"/>
          <w:szCs w:val="20"/>
        </w:rPr>
        <w:t xml:space="preserve">, ko so znašale </w:t>
      </w:r>
      <w:r w:rsidR="005050C8">
        <w:rPr>
          <w:rFonts w:ascii="Open Sans" w:hAnsi="Open Sans" w:cs="Open Sans"/>
          <w:sz w:val="20"/>
          <w:szCs w:val="20"/>
        </w:rPr>
        <w:t>982.400</w:t>
      </w:r>
      <w:r w:rsidR="000B1AAC">
        <w:rPr>
          <w:rFonts w:ascii="Open Sans" w:hAnsi="Open Sans" w:cs="Open Sans"/>
          <w:sz w:val="20"/>
          <w:szCs w:val="20"/>
        </w:rPr>
        <w:t xml:space="preserve"> EUR</w:t>
      </w:r>
      <w:r w:rsidR="00AF3223">
        <w:rPr>
          <w:rFonts w:ascii="Open Sans" w:hAnsi="Open Sans" w:cs="Open Sans"/>
          <w:sz w:val="20"/>
          <w:szCs w:val="20"/>
        </w:rPr>
        <w:t xml:space="preserve">, </w:t>
      </w:r>
      <w:r w:rsidR="005050C8">
        <w:rPr>
          <w:rFonts w:ascii="Open Sans" w:hAnsi="Open Sans" w:cs="Open Sans"/>
          <w:sz w:val="20"/>
          <w:szCs w:val="20"/>
        </w:rPr>
        <w:t xml:space="preserve">nižje </w:t>
      </w:r>
      <w:r w:rsidR="00AF3223">
        <w:rPr>
          <w:rFonts w:ascii="Open Sans" w:hAnsi="Open Sans" w:cs="Open Sans"/>
          <w:sz w:val="20"/>
          <w:szCs w:val="20"/>
        </w:rPr>
        <w:t xml:space="preserve">za </w:t>
      </w:r>
      <w:r w:rsidR="005050C8">
        <w:rPr>
          <w:rFonts w:ascii="Open Sans" w:hAnsi="Open Sans" w:cs="Open Sans"/>
          <w:sz w:val="20"/>
          <w:szCs w:val="20"/>
        </w:rPr>
        <w:t>35</w:t>
      </w:r>
      <w:r w:rsidR="00AF3223" w:rsidRPr="00AF3223">
        <w:rPr>
          <w:rFonts w:ascii="Open Sans" w:hAnsi="Open Sans" w:cs="Open Sans"/>
          <w:sz w:val="20"/>
          <w:szCs w:val="20"/>
        </w:rPr>
        <w:t>%</w:t>
      </w:r>
      <w:r w:rsidR="0083210B">
        <w:rPr>
          <w:rFonts w:ascii="Open Sans" w:hAnsi="Open Sans" w:cs="Open Sans"/>
          <w:sz w:val="20"/>
          <w:szCs w:val="20"/>
        </w:rPr>
        <w:t>.</w:t>
      </w:r>
    </w:p>
    <w:p w14:paraId="2A03A5A3" w14:textId="77777777" w:rsidR="001D0A8E" w:rsidRPr="00992E71" w:rsidRDefault="001D0A8E" w:rsidP="0073641D">
      <w:pPr>
        <w:jc w:val="both"/>
        <w:rPr>
          <w:rFonts w:ascii="Open Sans" w:hAnsi="Open Sans" w:cs="Open Sans"/>
          <w:sz w:val="20"/>
          <w:szCs w:val="20"/>
        </w:rPr>
      </w:pPr>
    </w:p>
    <w:p w14:paraId="470DF710" w14:textId="7370D16A" w:rsidR="001D0A8E" w:rsidRPr="00CD1E00" w:rsidRDefault="003A647D" w:rsidP="001D0A8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CD1E00">
        <w:rPr>
          <w:rFonts w:ascii="Open Sans" w:hAnsi="Open Sans" w:cs="Open Sans"/>
          <w:b/>
          <w:sz w:val="20"/>
          <w:szCs w:val="20"/>
        </w:rPr>
        <w:t>Ključni finančni kazalniki</w:t>
      </w:r>
    </w:p>
    <w:p w14:paraId="0C7C1147" w14:textId="154899F7" w:rsidR="00977116" w:rsidRPr="00B3353B" w:rsidRDefault="00B3353B" w:rsidP="00B3353B">
      <w:pPr>
        <w:jc w:val="both"/>
        <w:rPr>
          <w:rFonts w:ascii="Open Sans" w:hAnsi="Open Sans" w:cs="Open Sans"/>
          <w:sz w:val="20"/>
          <w:szCs w:val="20"/>
        </w:rPr>
      </w:pPr>
      <w:r w:rsidRPr="00FE3DC6">
        <w:rPr>
          <w:rFonts w:ascii="Open Sans" w:hAnsi="Open Sans" w:cs="Open Sans"/>
          <w:sz w:val="20"/>
          <w:szCs w:val="20"/>
        </w:rPr>
        <w:t xml:space="preserve">EBITDA v </w:t>
      </w:r>
      <w:r w:rsidR="00296FD1" w:rsidRPr="00FE3DC6">
        <w:rPr>
          <w:rFonts w:ascii="Open Sans" w:hAnsi="Open Sans" w:cs="Open Sans"/>
          <w:sz w:val="20"/>
          <w:szCs w:val="20"/>
        </w:rPr>
        <w:t>obdo</w:t>
      </w:r>
      <w:r w:rsidR="00746E77" w:rsidRPr="00FE3DC6">
        <w:rPr>
          <w:rFonts w:ascii="Open Sans" w:hAnsi="Open Sans" w:cs="Open Sans"/>
          <w:sz w:val="20"/>
          <w:szCs w:val="20"/>
        </w:rPr>
        <w:t>bju 1.1</w:t>
      </w:r>
      <w:r w:rsidR="005563D2">
        <w:rPr>
          <w:rFonts w:ascii="Open Sans" w:hAnsi="Open Sans" w:cs="Open Sans"/>
          <w:sz w:val="20"/>
          <w:szCs w:val="20"/>
        </w:rPr>
        <w:t>. – 30.6</w:t>
      </w:r>
      <w:r w:rsidR="00662CCF">
        <w:rPr>
          <w:rFonts w:ascii="Open Sans" w:hAnsi="Open Sans" w:cs="Open Sans"/>
          <w:sz w:val="20"/>
          <w:szCs w:val="20"/>
        </w:rPr>
        <w:t>.202</w:t>
      </w:r>
      <w:r w:rsidR="00A80AEC">
        <w:rPr>
          <w:rFonts w:ascii="Open Sans" w:hAnsi="Open Sans" w:cs="Open Sans"/>
          <w:sz w:val="20"/>
          <w:szCs w:val="20"/>
        </w:rPr>
        <w:t>2</w:t>
      </w:r>
      <w:r w:rsidRPr="00FE3DC6">
        <w:rPr>
          <w:rFonts w:ascii="Open Sans" w:hAnsi="Open Sans" w:cs="Open Sans"/>
          <w:sz w:val="20"/>
          <w:szCs w:val="20"/>
        </w:rPr>
        <w:t xml:space="preserve"> znaša </w:t>
      </w:r>
      <w:r w:rsidR="008B65B4" w:rsidRPr="008B65B4">
        <w:rPr>
          <w:rFonts w:ascii="Open Sans" w:hAnsi="Open Sans" w:cs="Open Sans"/>
          <w:sz w:val="20"/>
          <w:szCs w:val="20"/>
        </w:rPr>
        <w:t>7</w:t>
      </w:r>
      <w:r w:rsidR="00A80AEC">
        <w:rPr>
          <w:rFonts w:ascii="Open Sans" w:hAnsi="Open Sans" w:cs="Open Sans"/>
          <w:sz w:val="20"/>
          <w:szCs w:val="20"/>
        </w:rPr>
        <w:t>08</w:t>
      </w:r>
      <w:r w:rsidR="008B65B4" w:rsidRPr="008B65B4">
        <w:rPr>
          <w:rFonts w:ascii="Open Sans" w:hAnsi="Open Sans" w:cs="Open Sans"/>
          <w:sz w:val="20"/>
          <w:szCs w:val="20"/>
        </w:rPr>
        <w:t>.</w:t>
      </w:r>
      <w:r w:rsidR="00A80AEC">
        <w:rPr>
          <w:rFonts w:ascii="Open Sans" w:hAnsi="Open Sans" w:cs="Open Sans"/>
          <w:sz w:val="20"/>
          <w:szCs w:val="20"/>
        </w:rPr>
        <w:t>903</w:t>
      </w:r>
      <w:r w:rsidR="00782A32" w:rsidRPr="00FE3DC6">
        <w:rPr>
          <w:rFonts w:ascii="Open Sans" w:hAnsi="Open Sans" w:cs="Open Sans"/>
          <w:sz w:val="20"/>
          <w:szCs w:val="20"/>
        </w:rPr>
        <w:t xml:space="preserve"> EUR</w:t>
      </w:r>
      <w:r w:rsidR="005563D2">
        <w:rPr>
          <w:rFonts w:ascii="Open Sans" w:hAnsi="Open Sans" w:cs="Open Sans"/>
          <w:sz w:val="20"/>
          <w:szCs w:val="20"/>
        </w:rPr>
        <w:t xml:space="preserve"> (1.1. – 30.6</w:t>
      </w:r>
      <w:r w:rsidR="00662CCF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8B04E8">
        <w:rPr>
          <w:rFonts w:ascii="Open Sans" w:hAnsi="Open Sans" w:cs="Open Sans"/>
          <w:sz w:val="20"/>
          <w:szCs w:val="20"/>
        </w:rPr>
        <w:t>1</w:t>
      </w:r>
      <w:r w:rsidR="00662CCF">
        <w:rPr>
          <w:rFonts w:ascii="Open Sans" w:hAnsi="Open Sans" w:cs="Open Sans"/>
          <w:sz w:val="20"/>
          <w:szCs w:val="20"/>
        </w:rPr>
        <w:t xml:space="preserve">: </w:t>
      </w:r>
      <w:r w:rsidR="008B65B4">
        <w:rPr>
          <w:rFonts w:ascii="Open Sans" w:hAnsi="Open Sans" w:cs="Open Sans"/>
          <w:sz w:val="20"/>
          <w:szCs w:val="20"/>
        </w:rPr>
        <w:t>1.</w:t>
      </w:r>
      <w:r w:rsidR="00A80AEC">
        <w:rPr>
          <w:rFonts w:ascii="Open Sans" w:hAnsi="Open Sans" w:cs="Open Sans"/>
          <w:sz w:val="20"/>
          <w:szCs w:val="20"/>
        </w:rPr>
        <w:t>331</w:t>
      </w:r>
      <w:r w:rsidR="008B65B4">
        <w:rPr>
          <w:rFonts w:ascii="Open Sans" w:hAnsi="Open Sans" w:cs="Open Sans"/>
          <w:sz w:val="20"/>
          <w:szCs w:val="20"/>
        </w:rPr>
        <w:t>.</w:t>
      </w:r>
      <w:r w:rsidR="00A80AEC">
        <w:rPr>
          <w:rFonts w:ascii="Open Sans" w:hAnsi="Open Sans" w:cs="Open Sans"/>
          <w:sz w:val="20"/>
          <w:szCs w:val="20"/>
        </w:rPr>
        <w:t>050</w:t>
      </w:r>
      <w:r w:rsidR="00771C96" w:rsidRPr="00FE3DC6">
        <w:rPr>
          <w:rFonts w:ascii="Open Sans" w:hAnsi="Open Sans" w:cs="Open Sans"/>
          <w:sz w:val="20"/>
          <w:szCs w:val="20"/>
        </w:rPr>
        <w:t xml:space="preserve"> EUR)</w:t>
      </w:r>
      <w:r w:rsidR="00EF21C2">
        <w:rPr>
          <w:rFonts w:ascii="Open Sans" w:hAnsi="Open Sans" w:cs="Open Sans"/>
          <w:sz w:val="20"/>
          <w:szCs w:val="20"/>
        </w:rPr>
        <w:t xml:space="preserve">, EBITDA marža pa </w:t>
      </w:r>
      <w:r w:rsidR="00A80AEC">
        <w:rPr>
          <w:rFonts w:ascii="Open Sans" w:hAnsi="Open Sans" w:cs="Open Sans"/>
          <w:sz w:val="20"/>
          <w:szCs w:val="20"/>
        </w:rPr>
        <w:t>51</w:t>
      </w:r>
      <w:r w:rsidR="008B65B4" w:rsidRPr="008B65B4">
        <w:rPr>
          <w:rFonts w:ascii="Open Sans" w:hAnsi="Open Sans" w:cs="Open Sans"/>
          <w:sz w:val="20"/>
          <w:szCs w:val="20"/>
        </w:rPr>
        <w:t>,</w:t>
      </w:r>
      <w:r w:rsidR="00A80AEC">
        <w:rPr>
          <w:rFonts w:ascii="Open Sans" w:hAnsi="Open Sans" w:cs="Open Sans"/>
          <w:sz w:val="20"/>
          <w:szCs w:val="20"/>
        </w:rPr>
        <w:t>7</w:t>
      </w:r>
      <w:r w:rsidR="0040448D" w:rsidRPr="00FE3DC6">
        <w:rPr>
          <w:rFonts w:ascii="Open Sans" w:hAnsi="Open Sans" w:cs="Open Sans"/>
          <w:sz w:val="20"/>
          <w:szCs w:val="20"/>
        </w:rPr>
        <w:t>%</w:t>
      </w:r>
      <w:r w:rsidR="008B65B4">
        <w:rPr>
          <w:rFonts w:ascii="Open Sans" w:hAnsi="Open Sans" w:cs="Open Sans"/>
          <w:sz w:val="20"/>
          <w:szCs w:val="20"/>
        </w:rPr>
        <w:t xml:space="preserve"> (1.1. – 30.6.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8B65B4">
        <w:rPr>
          <w:rFonts w:ascii="Open Sans" w:hAnsi="Open Sans" w:cs="Open Sans"/>
          <w:sz w:val="20"/>
          <w:szCs w:val="20"/>
        </w:rPr>
        <w:t xml:space="preserve">: </w:t>
      </w:r>
      <w:r w:rsidR="00A80AEC">
        <w:rPr>
          <w:rFonts w:ascii="Open Sans" w:hAnsi="Open Sans" w:cs="Open Sans"/>
          <w:sz w:val="20"/>
          <w:szCs w:val="20"/>
        </w:rPr>
        <w:t>108</w:t>
      </w:r>
      <w:r w:rsidR="008B65B4">
        <w:rPr>
          <w:rFonts w:ascii="Open Sans" w:hAnsi="Open Sans" w:cs="Open Sans"/>
          <w:sz w:val="20"/>
          <w:szCs w:val="20"/>
        </w:rPr>
        <w:t>,</w:t>
      </w:r>
      <w:r w:rsidR="00A80AEC">
        <w:rPr>
          <w:rFonts w:ascii="Open Sans" w:hAnsi="Open Sans" w:cs="Open Sans"/>
          <w:sz w:val="20"/>
          <w:szCs w:val="20"/>
        </w:rPr>
        <w:t>7</w:t>
      </w:r>
      <w:r w:rsidR="00771C96" w:rsidRPr="00FE3DC6">
        <w:rPr>
          <w:rFonts w:ascii="Open Sans" w:hAnsi="Open Sans" w:cs="Open Sans"/>
          <w:sz w:val="20"/>
          <w:szCs w:val="20"/>
        </w:rPr>
        <w:t>%)</w:t>
      </w:r>
      <w:r w:rsidR="0040448D" w:rsidRPr="00FE3DC6">
        <w:rPr>
          <w:rFonts w:ascii="Open Sans" w:hAnsi="Open Sans" w:cs="Open Sans"/>
          <w:sz w:val="20"/>
          <w:szCs w:val="20"/>
        </w:rPr>
        <w:t>.</w:t>
      </w:r>
      <w:r w:rsidR="00942C4B">
        <w:rPr>
          <w:rFonts w:ascii="Open Sans" w:hAnsi="Open Sans" w:cs="Open Sans"/>
          <w:sz w:val="20"/>
          <w:szCs w:val="20"/>
        </w:rPr>
        <w:t xml:space="preserve"> V primerljivem obdobju preteklega leta ima ustvarjen dobiček pri prodaji nepremičnin izrazit vpliv</w:t>
      </w:r>
      <w:r w:rsidR="008D30F9">
        <w:rPr>
          <w:rFonts w:ascii="Open Sans" w:hAnsi="Open Sans" w:cs="Open Sans"/>
          <w:sz w:val="20"/>
          <w:szCs w:val="20"/>
        </w:rPr>
        <w:t xml:space="preserve"> tako na EBITDA kot</w:t>
      </w:r>
      <w:r w:rsidR="00942C4B">
        <w:rPr>
          <w:rFonts w:ascii="Open Sans" w:hAnsi="Open Sans" w:cs="Open Sans"/>
          <w:sz w:val="20"/>
          <w:szCs w:val="20"/>
        </w:rPr>
        <w:t xml:space="preserve"> na EBITDA maržo</w:t>
      </w:r>
      <w:r w:rsidR="008D30F9">
        <w:rPr>
          <w:rFonts w:ascii="Open Sans" w:hAnsi="Open Sans" w:cs="Open Sans"/>
          <w:sz w:val="20"/>
          <w:szCs w:val="20"/>
        </w:rPr>
        <w:t xml:space="preserve">. Prilagojena EBITDA marža za prihodke od prodaje nepremičnin v obdobju 1.1.  do 30.6.2021 znaša 57,6%. 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2"/>
        <w:gridCol w:w="1326"/>
        <w:gridCol w:w="1352"/>
      </w:tblGrid>
      <w:tr w:rsidR="00250E05" w:rsidRPr="00992E71" w14:paraId="4A6D5100" w14:textId="77777777" w:rsidTr="00CD1E00">
        <w:tc>
          <w:tcPr>
            <w:tcW w:w="0" w:type="auto"/>
            <w:shd w:val="clear" w:color="auto" w:fill="F2F2F2" w:themeFill="background1" w:themeFillShade="F2"/>
          </w:tcPr>
          <w:p w14:paraId="371378A9" w14:textId="77777777" w:rsidR="00250E05" w:rsidRPr="00992E71" w:rsidRDefault="00250E05" w:rsidP="00250E0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93C911" w14:textId="75E3396C" w:rsidR="00250E05" w:rsidRDefault="002C7647" w:rsidP="00250E0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30.6</w:t>
            </w:r>
            <w:r w:rsidR="00C27758">
              <w:rPr>
                <w:rFonts w:ascii="Open Sans" w:hAnsi="Open Sans" w:cs="Open Sans"/>
                <w:b/>
                <w:sz w:val="20"/>
                <w:szCs w:val="20"/>
              </w:rPr>
              <w:t>.202</w:t>
            </w:r>
            <w:r w:rsidR="00883F27"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</w:p>
          <w:p w14:paraId="0108A9D0" w14:textId="22705FF4" w:rsidR="00ED7B30" w:rsidRPr="00992E71" w:rsidRDefault="002C7647" w:rsidP="00250E0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oz. I-VI</w:t>
            </w:r>
            <w:r w:rsidR="00ED7B30">
              <w:rPr>
                <w:rFonts w:ascii="Open Sans" w:hAnsi="Open Sans" w:cs="Open Sans"/>
                <w:b/>
                <w:sz w:val="20"/>
                <w:szCs w:val="20"/>
              </w:rPr>
              <w:t xml:space="preserve"> 202</w:t>
            </w:r>
            <w:r w:rsidR="00883F27"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F36179" w14:textId="378B4CB1" w:rsidR="00ED7B30" w:rsidRDefault="00C27758" w:rsidP="00ED7B30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31.12.</w:t>
            </w:r>
            <w:r w:rsidR="00913974">
              <w:rPr>
                <w:rFonts w:ascii="Open Sans" w:hAnsi="Open Sans" w:cs="Open Sans"/>
                <w:b/>
                <w:sz w:val="20"/>
                <w:szCs w:val="20"/>
              </w:rPr>
              <w:t>202</w:t>
            </w:r>
            <w:r w:rsidR="008B04E8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</w:p>
          <w:p w14:paraId="44674FCD" w14:textId="7917B75E" w:rsidR="00ED7B30" w:rsidRPr="00992E71" w:rsidRDefault="0002110E" w:rsidP="00ED7B30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oz. I-VI</w:t>
            </w:r>
            <w:r w:rsidR="00D6258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13974">
              <w:rPr>
                <w:rFonts w:ascii="Open Sans" w:hAnsi="Open Sans" w:cs="Open Sans"/>
                <w:b/>
                <w:sz w:val="20"/>
                <w:szCs w:val="20"/>
              </w:rPr>
              <w:t>202</w:t>
            </w:r>
            <w:r w:rsidR="008B04E8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</w:p>
        </w:tc>
      </w:tr>
      <w:tr w:rsidR="001772C9" w:rsidRPr="00992E71" w14:paraId="2F0C41AC" w14:textId="77777777" w:rsidTr="00CD1E00">
        <w:tc>
          <w:tcPr>
            <w:tcW w:w="0" w:type="auto"/>
          </w:tcPr>
          <w:p w14:paraId="5EC95706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lastniškosti financiranja</w:t>
            </w:r>
          </w:p>
        </w:tc>
        <w:tc>
          <w:tcPr>
            <w:tcW w:w="0" w:type="auto"/>
            <w:shd w:val="clear" w:color="auto" w:fill="auto"/>
          </w:tcPr>
          <w:p w14:paraId="6D1C5BD7" w14:textId="04154610" w:rsidR="001772C9" w:rsidRPr="003C6DAF" w:rsidRDefault="001F35E5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73FC3F10" w14:textId="4FF11BF6" w:rsidR="001772C9" w:rsidRPr="00616220" w:rsidRDefault="00ED7B30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9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1772C9" w:rsidRPr="00992E71" w14:paraId="76F66500" w14:textId="77777777" w:rsidTr="00CD1E00">
        <w:tc>
          <w:tcPr>
            <w:tcW w:w="0" w:type="auto"/>
          </w:tcPr>
          <w:p w14:paraId="04403CE1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financiranja</w:t>
            </w:r>
          </w:p>
        </w:tc>
        <w:tc>
          <w:tcPr>
            <w:tcW w:w="0" w:type="auto"/>
            <w:shd w:val="clear" w:color="auto" w:fill="auto"/>
          </w:tcPr>
          <w:p w14:paraId="2F6C2B9A" w14:textId="476052DE" w:rsidR="001772C9" w:rsidRPr="003C6DAF" w:rsidRDefault="001F35E5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9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3D17EB2" w14:textId="3A49FBAE" w:rsidR="001772C9" w:rsidRPr="00616220" w:rsidRDefault="00ED7B30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94</w:t>
            </w:r>
          </w:p>
        </w:tc>
      </w:tr>
      <w:tr w:rsidR="001772C9" w:rsidRPr="00992E71" w14:paraId="61150199" w14:textId="77777777" w:rsidTr="00CD1E00">
        <w:tc>
          <w:tcPr>
            <w:tcW w:w="0" w:type="auto"/>
          </w:tcPr>
          <w:p w14:paraId="1E294B0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osnovnosti investiranja</w:t>
            </w:r>
          </w:p>
        </w:tc>
        <w:tc>
          <w:tcPr>
            <w:tcW w:w="0" w:type="auto"/>
            <w:shd w:val="clear" w:color="auto" w:fill="auto"/>
          </w:tcPr>
          <w:p w14:paraId="31309AB9" w14:textId="664516B6" w:rsidR="004C5E48" w:rsidRPr="003C6DAF" w:rsidRDefault="001F35E5" w:rsidP="004C5E4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30AC67C0" w14:textId="2E7FBB02" w:rsidR="001772C9" w:rsidRPr="00616220" w:rsidRDefault="00ED7B30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05</w:t>
            </w:r>
          </w:p>
        </w:tc>
      </w:tr>
      <w:tr w:rsidR="001772C9" w:rsidRPr="00992E71" w14:paraId="04C2A092" w14:textId="77777777" w:rsidTr="00CD1E00">
        <w:tc>
          <w:tcPr>
            <w:tcW w:w="0" w:type="auto"/>
          </w:tcPr>
          <w:p w14:paraId="7DEB240B" w14:textId="474FF8BA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investiranja</w:t>
            </w:r>
          </w:p>
        </w:tc>
        <w:tc>
          <w:tcPr>
            <w:tcW w:w="0" w:type="auto"/>
            <w:shd w:val="clear" w:color="auto" w:fill="auto"/>
          </w:tcPr>
          <w:p w14:paraId="40D2B58E" w14:textId="481D64A1" w:rsidR="001772C9" w:rsidRPr="003C6DAF" w:rsidRDefault="001F35E5" w:rsidP="001F35E5">
            <w:pPr>
              <w:tabs>
                <w:tab w:val="left" w:pos="1128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6E8BD04A" w14:textId="7B25171C" w:rsidR="001772C9" w:rsidRPr="00616220" w:rsidRDefault="00ED7B30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67</w:t>
            </w:r>
          </w:p>
        </w:tc>
      </w:tr>
      <w:tr w:rsidR="001772C9" w:rsidRPr="00992E71" w14:paraId="18BCD8BB" w14:textId="77777777" w:rsidTr="00CD1E00">
        <w:tc>
          <w:tcPr>
            <w:tcW w:w="0" w:type="auto"/>
          </w:tcPr>
          <w:p w14:paraId="0162B288" w14:textId="1FD331DC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Koeficient kapitalske pokritosti osnovnih sredstev</w:t>
            </w:r>
          </w:p>
        </w:tc>
        <w:tc>
          <w:tcPr>
            <w:tcW w:w="0" w:type="auto"/>
            <w:shd w:val="clear" w:color="auto" w:fill="auto"/>
          </w:tcPr>
          <w:p w14:paraId="4267CA92" w14:textId="7EF2ABCF" w:rsidR="001772C9" w:rsidRPr="003C6DAF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sz w:val="20"/>
                <w:szCs w:val="20"/>
              </w:rPr>
              <w:t>,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22D3219A" w14:textId="17538A9F" w:rsidR="001772C9" w:rsidRPr="00616220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16</w:t>
            </w:r>
            <w:r w:rsidR="00ED7B30">
              <w:rPr>
                <w:rFonts w:ascii="Open Sans" w:hAnsi="Open Sans" w:cs="Open Sans"/>
                <w:sz w:val="20"/>
                <w:szCs w:val="20"/>
              </w:rPr>
              <w:t>,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57</w:t>
            </w:r>
          </w:p>
        </w:tc>
      </w:tr>
      <w:tr w:rsidR="001772C9" w:rsidRPr="00992E71" w14:paraId="118F608F" w14:textId="77777777" w:rsidTr="00CD1E00">
        <w:tc>
          <w:tcPr>
            <w:tcW w:w="0" w:type="auto"/>
          </w:tcPr>
          <w:p w14:paraId="3996B3E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kapitalske pokritosti dolgoročnih sredstev</w:t>
            </w:r>
          </w:p>
        </w:tc>
        <w:tc>
          <w:tcPr>
            <w:tcW w:w="0" w:type="auto"/>
            <w:shd w:val="clear" w:color="auto" w:fill="auto"/>
          </w:tcPr>
          <w:p w14:paraId="6580FEA8" w14:textId="4EAF941D" w:rsidR="001772C9" w:rsidRPr="003C6DAF" w:rsidRDefault="001F35E5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20B66D64" w14:textId="52E2872A" w:rsidR="001772C9" w:rsidRPr="00616220" w:rsidRDefault="00ED7B30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1,3</w:t>
            </w:r>
            <w:r w:rsidR="00215D35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</w:tr>
      <w:tr w:rsidR="001772C9" w:rsidRPr="00992E71" w14:paraId="4B3BEBE4" w14:textId="77777777" w:rsidTr="00CD1E00">
        <w:tc>
          <w:tcPr>
            <w:tcW w:w="0" w:type="auto"/>
          </w:tcPr>
          <w:p w14:paraId="390CA3A4" w14:textId="77777777" w:rsidR="001772C9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neposredne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91E7D0F" w14:textId="34EEA4F1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(hitri koeficient)</w:t>
            </w:r>
          </w:p>
        </w:tc>
        <w:tc>
          <w:tcPr>
            <w:tcW w:w="0" w:type="auto"/>
            <w:shd w:val="clear" w:color="auto" w:fill="auto"/>
          </w:tcPr>
          <w:p w14:paraId="31B07554" w14:textId="44E6B385" w:rsidR="001772C9" w:rsidRPr="003C6DAF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1F35E5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5991D8ED" w14:textId="537965DF" w:rsidR="001772C9" w:rsidRPr="00616220" w:rsidRDefault="00883F27" w:rsidP="004C1C5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ED7B30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07</w:t>
            </w:r>
          </w:p>
        </w:tc>
      </w:tr>
      <w:tr w:rsidR="001772C9" w:rsidRPr="00992E71" w14:paraId="6B5806C0" w14:textId="77777777" w:rsidTr="00CD1E00">
        <w:tc>
          <w:tcPr>
            <w:tcW w:w="0" w:type="auto"/>
          </w:tcPr>
          <w:p w14:paraId="54D563F7" w14:textId="26B88C48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pospešene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(pospešeni koeficient)</w:t>
            </w:r>
          </w:p>
        </w:tc>
        <w:tc>
          <w:tcPr>
            <w:tcW w:w="0" w:type="auto"/>
            <w:shd w:val="clear" w:color="auto" w:fill="auto"/>
          </w:tcPr>
          <w:p w14:paraId="1968E847" w14:textId="3A4B4654" w:rsidR="001772C9" w:rsidRPr="003C6DAF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1F35E5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68A3B4B2" w14:textId="2EFF213F" w:rsidR="001772C9" w:rsidRPr="00616220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ED7B30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49</w:t>
            </w:r>
          </w:p>
        </w:tc>
      </w:tr>
      <w:tr w:rsidR="001772C9" w:rsidRPr="00992E71" w14:paraId="7C383D03" w14:textId="77777777" w:rsidTr="00CD1E00">
        <w:tc>
          <w:tcPr>
            <w:tcW w:w="0" w:type="auto"/>
          </w:tcPr>
          <w:p w14:paraId="2B07D7C8" w14:textId="66A1D87B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kratkoročne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(kratkoročni koeficient)</w:t>
            </w:r>
          </w:p>
        </w:tc>
        <w:tc>
          <w:tcPr>
            <w:tcW w:w="0" w:type="auto"/>
            <w:shd w:val="clear" w:color="auto" w:fill="auto"/>
          </w:tcPr>
          <w:p w14:paraId="66EDDA03" w14:textId="5645E8CE" w:rsidR="00D532EE" w:rsidRPr="003C6DAF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="001F35E5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4DD1946F" w14:textId="600D9015" w:rsidR="001772C9" w:rsidRPr="00616220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ED7B30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44</w:t>
            </w:r>
          </w:p>
        </w:tc>
      </w:tr>
      <w:tr w:rsidR="001772C9" w:rsidRPr="00992E71" w14:paraId="1FEE41A4" w14:textId="77777777" w:rsidTr="00CD1E00">
        <w:tc>
          <w:tcPr>
            <w:tcW w:w="0" w:type="auto"/>
          </w:tcPr>
          <w:p w14:paraId="1489A25D" w14:textId="67D01AB6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gospodarnosti poslovanja</w:t>
            </w:r>
          </w:p>
        </w:tc>
        <w:tc>
          <w:tcPr>
            <w:tcW w:w="0" w:type="auto"/>
            <w:shd w:val="clear" w:color="auto" w:fill="auto"/>
          </w:tcPr>
          <w:p w14:paraId="7F269070" w14:textId="7A789055" w:rsidR="001772C9" w:rsidRPr="003C6DAF" w:rsidRDefault="001F35E5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</w:t>
            </w:r>
            <w:r w:rsidR="00883F27">
              <w:rPr>
                <w:rFonts w:ascii="Open Sans" w:hAnsi="Open Sans" w:cs="Open Sans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058023E8" w14:textId="65A661DA" w:rsidR="001772C9" w:rsidRPr="00616220" w:rsidRDefault="00883F2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BB5E46">
              <w:rPr>
                <w:rFonts w:ascii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</w:rPr>
              <w:t>62</w:t>
            </w:r>
          </w:p>
        </w:tc>
      </w:tr>
    </w:tbl>
    <w:p w14:paraId="7190BBBE" w14:textId="77777777" w:rsidR="00E26541" w:rsidRDefault="00E26541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046D2F53" w14:textId="77777777" w:rsidR="00024CCB" w:rsidRDefault="00024CCB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B60A87C" w14:textId="18942509" w:rsidR="00696275" w:rsidRPr="00992E71" w:rsidRDefault="001F2C60" w:rsidP="00696275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Informacije o delnici</w:t>
      </w:r>
      <w:r w:rsidR="00164CF8" w:rsidRPr="00992E71">
        <w:rPr>
          <w:rFonts w:ascii="Open Sans" w:hAnsi="Open Sans" w:cs="Open Sans"/>
          <w:b/>
          <w:sz w:val="20"/>
          <w:szCs w:val="20"/>
        </w:rPr>
        <w:t xml:space="preserve"> in delničarji</w:t>
      </w:r>
      <w:r w:rsidR="00B05B98">
        <w:rPr>
          <w:rFonts w:ascii="Open Sans" w:hAnsi="Open Sans" w:cs="Open Sans"/>
          <w:b/>
          <w:sz w:val="20"/>
          <w:szCs w:val="20"/>
        </w:rPr>
        <w:t>h</w:t>
      </w:r>
    </w:p>
    <w:p w14:paraId="762C8A11" w14:textId="516C2660" w:rsidR="00696275" w:rsidRPr="00992E71" w:rsidRDefault="00696275" w:rsidP="00696275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Osnovni podatki o delnici družbe Nama d.d.</w:t>
      </w:r>
      <w:r w:rsidR="00F1316E">
        <w:rPr>
          <w:rFonts w:ascii="Open Sans" w:hAnsi="Open Sans" w:cs="Open Sans"/>
          <w:sz w:val="20"/>
          <w:szCs w:val="20"/>
        </w:rPr>
        <w:t xml:space="preserve"> Ljubljana</w:t>
      </w:r>
      <w:r w:rsidRPr="00992E71">
        <w:rPr>
          <w:rFonts w:ascii="Open Sans" w:hAnsi="Open Sans" w:cs="Open Sans"/>
          <w:sz w:val="20"/>
          <w:szCs w:val="20"/>
        </w:rPr>
        <w:t xml:space="preserve"> na dan </w:t>
      </w:r>
      <w:r w:rsidR="002F1E0F">
        <w:rPr>
          <w:rFonts w:ascii="Open Sans" w:hAnsi="Open Sans" w:cs="Open Sans"/>
          <w:sz w:val="20"/>
          <w:szCs w:val="20"/>
        </w:rPr>
        <w:t>30.6</w:t>
      </w:r>
      <w:r w:rsidR="003F287B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076"/>
        <w:gridCol w:w="279"/>
        <w:gridCol w:w="4715"/>
      </w:tblGrid>
      <w:tr w:rsidR="00696275" w:rsidRPr="00992E71" w14:paraId="26C0CB95" w14:textId="77777777" w:rsidTr="00430822">
        <w:tc>
          <w:tcPr>
            <w:tcW w:w="224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5B9931B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Osnovni podatki o delnici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5B4D400F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9F63B4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96275" w:rsidRPr="00992E71" w14:paraId="39464A82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4D4EC8C7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Oznaka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6279563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63EDEA67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NALN</w:t>
            </w:r>
          </w:p>
        </w:tc>
      </w:tr>
      <w:tr w:rsidR="00696275" w:rsidRPr="00992E71" w14:paraId="21F6E3E5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58A535F1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Kotacija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55133AC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5DC321DC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Standardna kotacija Ljubljanske borze</w:t>
            </w:r>
          </w:p>
        </w:tc>
      </w:tr>
      <w:tr w:rsidR="00696275" w:rsidRPr="00992E71" w14:paraId="7710CEF3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17917C0B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Osnovni kapital (v EUR)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43508025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0250F698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3.977.324 EUR</w:t>
            </w:r>
          </w:p>
        </w:tc>
      </w:tr>
      <w:tr w:rsidR="00696275" w:rsidRPr="00992E71" w14:paraId="0A8EDE60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5AE0472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navadnih kosovnih delnic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69166BEC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1C3724E3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953.795</w:t>
            </w:r>
          </w:p>
        </w:tc>
      </w:tr>
      <w:tr w:rsidR="00696275" w:rsidRPr="00992E71" w14:paraId="2025BA3A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25F5CE6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lastnih delnic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61FC5B33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29439130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68</w:t>
            </w:r>
          </w:p>
        </w:tc>
      </w:tr>
      <w:tr w:rsidR="00696275" w:rsidRPr="00992E71" w14:paraId="0CFA3169" w14:textId="77777777" w:rsidTr="00430822">
        <w:tc>
          <w:tcPr>
            <w:tcW w:w="2247" w:type="pct"/>
            <w:tcBorders>
              <w:left w:val="nil"/>
              <w:right w:val="nil"/>
            </w:tcBorders>
          </w:tcPr>
          <w:p w14:paraId="62660A1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delničarjev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7F9E68C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99" w:type="pct"/>
            <w:tcBorders>
              <w:left w:val="nil"/>
              <w:right w:val="nil"/>
            </w:tcBorders>
          </w:tcPr>
          <w:p w14:paraId="7B267241" w14:textId="1BEABF90" w:rsidR="00696275" w:rsidRPr="00992E71" w:rsidRDefault="00845FED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33</w:t>
            </w:r>
          </w:p>
        </w:tc>
      </w:tr>
    </w:tbl>
    <w:p w14:paraId="1A6D8D8E" w14:textId="77777777" w:rsidR="00CB3E81" w:rsidRDefault="00CB3E81" w:rsidP="00AE7CFE">
      <w:pPr>
        <w:jc w:val="both"/>
        <w:rPr>
          <w:rFonts w:ascii="Open Sans" w:hAnsi="Open Sans" w:cs="Open Sans"/>
          <w:sz w:val="20"/>
          <w:szCs w:val="20"/>
        </w:rPr>
      </w:pPr>
    </w:p>
    <w:p w14:paraId="0F07B74E" w14:textId="77777777" w:rsidR="00430822" w:rsidRDefault="0043082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22C9EED9" w14:textId="593CDD6E" w:rsidR="00696275" w:rsidRPr="00992E71" w:rsidRDefault="00696275" w:rsidP="00AE7CFE">
      <w:pPr>
        <w:jc w:val="both"/>
        <w:rPr>
          <w:rFonts w:ascii="Open Sans" w:hAnsi="Open Sans" w:cs="Open Sans"/>
          <w:sz w:val="20"/>
          <w:szCs w:val="20"/>
        </w:rPr>
      </w:pPr>
      <w:r w:rsidRPr="000579EB">
        <w:rPr>
          <w:rFonts w:ascii="Open Sans" w:hAnsi="Open Sans" w:cs="Open Sans"/>
          <w:sz w:val="20"/>
          <w:szCs w:val="20"/>
        </w:rPr>
        <w:lastRenderedPageBreak/>
        <w:t>V obdobju od 1.1.</w:t>
      </w:r>
      <w:r w:rsidR="00B63719">
        <w:rPr>
          <w:rFonts w:ascii="Open Sans" w:hAnsi="Open Sans" w:cs="Open Sans"/>
          <w:sz w:val="20"/>
          <w:szCs w:val="20"/>
        </w:rPr>
        <w:t xml:space="preserve"> do 30.6</w:t>
      </w:r>
      <w:r w:rsidR="000F54CB">
        <w:rPr>
          <w:rFonts w:ascii="Open Sans" w:hAnsi="Open Sans" w:cs="Open Sans"/>
          <w:sz w:val="20"/>
          <w:szCs w:val="20"/>
        </w:rPr>
        <w:t>.202</w:t>
      </w:r>
      <w:r w:rsidR="00845FED">
        <w:rPr>
          <w:rFonts w:ascii="Open Sans" w:hAnsi="Open Sans" w:cs="Open Sans"/>
          <w:sz w:val="20"/>
          <w:szCs w:val="20"/>
        </w:rPr>
        <w:t>2</w:t>
      </w:r>
      <w:r w:rsidRPr="000579EB">
        <w:rPr>
          <w:rFonts w:ascii="Open Sans" w:hAnsi="Open Sans" w:cs="Open Sans"/>
          <w:sz w:val="20"/>
          <w:szCs w:val="20"/>
        </w:rPr>
        <w:t xml:space="preserve"> se lastniška struktura</w:t>
      </w:r>
      <w:r w:rsidR="006E77C8">
        <w:rPr>
          <w:rFonts w:ascii="Open Sans" w:hAnsi="Open Sans" w:cs="Open Sans"/>
          <w:sz w:val="20"/>
          <w:szCs w:val="20"/>
        </w:rPr>
        <w:t xml:space="preserve"> ni </w:t>
      </w:r>
      <w:r w:rsidR="00CF57EB">
        <w:rPr>
          <w:rFonts w:ascii="Open Sans" w:hAnsi="Open Sans" w:cs="Open Sans"/>
          <w:sz w:val="20"/>
          <w:szCs w:val="20"/>
        </w:rPr>
        <w:t xml:space="preserve">pomembno </w:t>
      </w:r>
      <w:r w:rsidR="006E77C8">
        <w:rPr>
          <w:rFonts w:ascii="Open Sans" w:hAnsi="Open Sans" w:cs="Open Sans"/>
          <w:sz w:val="20"/>
          <w:szCs w:val="20"/>
        </w:rPr>
        <w:t xml:space="preserve">spremenila in </w:t>
      </w:r>
      <w:r w:rsidR="00A577D0">
        <w:rPr>
          <w:rFonts w:ascii="Open Sans" w:hAnsi="Open Sans" w:cs="Open Sans"/>
          <w:sz w:val="20"/>
          <w:szCs w:val="20"/>
        </w:rPr>
        <w:t xml:space="preserve">je na dan </w:t>
      </w:r>
      <w:r w:rsidR="00A577D0" w:rsidRPr="003E4F8F">
        <w:rPr>
          <w:rFonts w:ascii="Open Sans" w:hAnsi="Open Sans" w:cs="Open Sans"/>
          <w:sz w:val="20"/>
          <w:szCs w:val="20"/>
        </w:rPr>
        <w:t>30.6</w:t>
      </w:r>
      <w:r w:rsidR="000F54CB" w:rsidRPr="003E4F8F">
        <w:rPr>
          <w:rFonts w:ascii="Open Sans" w:hAnsi="Open Sans" w:cs="Open Sans"/>
          <w:sz w:val="20"/>
          <w:szCs w:val="20"/>
        </w:rPr>
        <w:t>.202</w:t>
      </w:r>
      <w:r w:rsidR="00845FED">
        <w:rPr>
          <w:rFonts w:ascii="Open Sans" w:hAnsi="Open Sans" w:cs="Open Sans"/>
          <w:sz w:val="20"/>
          <w:szCs w:val="20"/>
        </w:rPr>
        <w:t>2</w:t>
      </w:r>
      <w:r w:rsidRPr="003E4F8F">
        <w:rPr>
          <w:rFonts w:ascii="Open Sans" w:hAnsi="Open Sans" w:cs="Open Sans"/>
          <w:sz w:val="20"/>
          <w:szCs w:val="20"/>
        </w:rPr>
        <w:t xml:space="preserve"> naslednja: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6"/>
        <w:gridCol w:w="1301"/>
        <w:gridCol w:w="1443"/>
      </w:tblGrid>
      <w:tr w:rsidR="00696275" w:rsidRPr="00992E71" w14:paraId="458EB2BD" w14:textId="77777777" w:rsidTr="00CD1E00">
        <w:trPr>
          <w:trHeight w:val="247"/>
        </w:trPr>
        <w:tc>
          <w:tcPr>
            <w:tcW w:w="3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DCCE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Lastniška struktura na dan 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F1A681" w14:textId="299D260F" w:rsidR="00696275" w:rsidRPr="00992E71" w:rsidRDefault="008A112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30</w:t>
            </w:r>
            <w:r w:rsidR="00F42D8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6</w:t>
            </w:r>
            <w:r w:rsidR="006F2CD6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.202</w:t>
            </w:r>
            <w:r w:rsidR="00845FED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8D6CAB" w14:textId="3CA959FC" w:rsidR="00696275" w:rsidRPr="00992E71" w:rsidRDefault="006F2CD6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31.12.</w:t>
            </w:r>
            <w:r w:rsidR="00913974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202</w:t>
            </w:r>
            <w:r w:rsidR="00AE582D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96275" w:rsidRPr="00992E71" w14:paraId="01C8A9AC" w14:textId="77777777" w:rsidTr="00CD1E00">
        <w:trPr>
          <w:trHeight w:val="236"/>
        </w:trPr>
        <w:tc>
          <w:tcPr>
            <w:tcW w:w="3483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6BD59A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Zavarovalnica Triglav, d.d.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EE3FB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0F80B0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</w:tr>
      <w:tr w:rsidR="00696275" w:rsidRPr="00992E71" w14:paraId="0EB0471E" w14:textId="77777777" w:rsidTr="00CD1E00">
        <w:trPr>
          <w:trHeight w:val="236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21D4C6" w14:textId="34125A9A" w:rsidR="00696275" w:rsidRPr="00992E71" w:rsidRDefault="00DE0B0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Generali </w:t>
            </w:r>
            <w:r w:rsidR="00B22D3A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d.d., Sklad neživljenjskih zavarovanj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EC66A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2A0FE2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</w:tr>
      <w:tr w:rsidR="00696275" w:rsidRPr="00992E71" w14:paraId="2A4AA732" w14:textId="77777777" w:rsidTr="00CD1E00">
        <w:trPr>
          <w:trHeight w:val="236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A50099" w14:textId="3F2AA0FC" w:rsidR="00696275" w:rsidRPr="00992E71" w:rsidRDefault="00DE0B0A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Generali</w:t>
            </w:r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d.d.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14B7FD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E3268C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</w:tr>
      <w:tr w:rsidR="00696275" w:rsidRPr="00992E71" w14:paraId="344BA1FA" w14:textId="77777777" w:rsidTr="00CD1E00">
        <w:trPr>
          <w:trHeight w:val="236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FCF6F1" w14:textId="3E8DC1E3" w:rsidR="00696275" w:rsidRPr="00992E71" w:rsidRDefault="00B22D3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Triglav vzajemni skladi - Delniški Triglav Steber Global 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9A43DB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C2A0D43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</w:tr>
      <w:tr w:rsidR="00696275" w:rsidRPr="00992E71" w14:paraId="7342FADE" w14:textId="77777777" w:rsidTr="00CD1E00">
        <w:trPr>
          <w:trHeight w:val="247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91B71B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Mali delničarji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2A64FE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714A7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</w:tr>
      <w:tr w:rsidR="00696275" w:rsidRPr="00992E71" w14:paraId="5E047B61" w14:textId="77777777" w:rsidTr="00CD1E00">
        <w:trPr>
          <w:trHeight w:val="247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9EFA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03AB9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D9C91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A1EC24C" w14:textId="77777777" w:rsidR="001D0A8E" w:rsidRDefault="001D0A8E" w:rsidP="00696275">
      <w:pPr>
        <w:jc w:val="both"/>
        <w:rPr>
          <w:rFonts w:ascii="Open Sans" w:hAnsi="Open Sans" w:cs="Open Sans"/>
          <w:sz w:val="20"/>
          <w:szCs w:val="20"/>
        </w:rPr>
      </w:pPr>
    </w:p>
    <w:p w14:paraId="10BC43BD" w14:textId="47EDF6E2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Tečaj delnice družbe NAMA d.d. Ljubljana z oznako NALN je </w:t>
      </w:r>
      <w:r w:rsidR="004951F6">
        <w:rPr>
          <w:rFonts w:ascii="Open Sans" w:hAnsi="Open Sans" w:cs="Open Sans"/>
          <w:sz w:val="20"/>
          <w:szCs w:val="20"/>
        </w:rPr>
        <w:t xml:space="preserve">na </w:t>
      </w:r>
      <w:r w:rsidR="00842CE6">
        <w:rPr>
          <w:rFonts w:ascii="Open Sans" w:hAnsi="Open Sans" w:cs="Open Sans"/>
          <w:sz w:val="20"/>
          <w:szCs w:val="20"/>
        </w:rPr>
        <w:t>zadnji trgovalni dan v juniju</w:t>
      </w:r>
      <w:r w:rsidR="00CD36F6">
        <w:rPr>
          <w:rFonts w:ascii="Open Sans" w:hAnsi="Open Sans" w:cs="Open Sans"/>
          <w:sz w:val="20"/>
          <w:szCs w:val="20"/>
        </w:rPr>
        <w:t xml:space="preserve"> 202</w:t>
      </w:r>
      <w:r w:rsidR="00845FED">
        <w:rPr>
          <w:rFonts w:ascii="Open Sans" w:hAnsi="Open Sans" w:cs="Open Sans"/>
          <w:sz w:val="20"/>
          <w:szCs w:val="20"/>
        </w:rPr>
        <w:t>2</w:t>
      </w:r>
      <w:r w:rsidR="00FD5D6E">
        <w:rPr>
          <w:rFonts w:ascii="Open Sans" w:hAnsi="Open Sans" w:cs="Open Sans"/>
          <w:sz w:val="20"/>
          <w:szCs w:val="20"/>
        </w:rPr>
        <w:t xml:space="preserve"> </w:t>
      </w:r>
      <w:r w:rsidR="00842CE6">
        <w:rPr>
          <w:rFonts w:ascii="Open Sans" w:hAnsi="Open Sans" w:cs="Open Sans"/>
          <w:sz w:val="20"/>
          <w:szCs w:val="20"/>
        </w:rPr>
        <w:t xml:space="preserve">znašal </w:t>
      </w:r>
      <w:r w:rsidR="00845FED">
        <w:rPr>
          <w:rFonts w:ascii="Open Sans" w:hAnsi="Open Sans" w:cs="Open Sans"/>
          <w:sz w:val="20"/>
          <w:szCs w:val="20"/>
        </w:rPr>
        <w:t xml:space="preserve">21,00 </w:t>
      </w:r>
      <w:r w:rsidRPr="00992E71">
        <w:rPr>
          <w:rFonts w:ascii="Open Sans" w:hAnsi="Open Sans" w:cs="Open Sans"/>
          <w:sz w:val="20"/>
          <w:szCs w:val="20"/>
        </w:rPr>
        <w:t xml:space="preserve">EUR. Tečaj delnice </w:t>
      </w:r>
      <w:r w:rsidR="00FD5D6E">
        <w:rPr>
          <w:rFonts w:ascii="Open Sans" w:hAnsi="Open Sans" w:cs="Open Sans"/>
          <w:sz w:val="20"/>
          <w:szCs w:val="20"/>
        </w:rPr>
        <w:t>se</w:t>
      </w:r>
      <w:r w:rsidR="00313AB1">
        <w:rPr>
          <w:rFonts w:ascii="Open Sans" w:hAnsi="Open Sans" w:cs="Open Sans"/>
          <w:sz w:val="20"/>
          <w:szCs w:val="20"/>
        </w:rPr>
        <w:t xml:space="preserve"> je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6D3201">
        <w:rPr>
          <w:rFonts w:ascii="Open Sans" w:hAnsi="Open Sans" w:cs="Open Sans"/>
          <w:sz w:val="20"/>
          <w:szCs w:val="20"/>
        </w:rPr>
        <w:t>glede na 31.12.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AE582D">
        <w:rPr>
          <w:rFonts w:ascii="Open Sans" w:hAnsi="Open Sans" w:cs="Open Sans"/>
          <w:sz w:val="20"/>
          <w:szCs w:val="20"/>
        </w:rPr>
        <w:t>1</w:t>
      </w:r>
      <w:r w:rsidR="00FD5D6E">
        <w:rPr>
          <w:rFonts w:ascii="Open Sans" w:hAnsi="Open Sans" w:cs="Open Sans"/>
          <w:sz w:val="20"/>
          <w:szCs w:val="20"/>
        </w:rPr>
        <w:t xml:space="preserve"> </w:t>
      </w:r>
      <w:r w:rsidR="00850D61">
        <w:rPr>
          <w:rFonts w:ascii="Open Sans" w:hAnsi="Open Sans" w:cs="Open Sans"/>
          <w:sz w:val="20"/>
          <w:szCs w:val="20"/>
        </w:rPr>
        <w:t xml:space="preserve">zvišal za </w:t>
      </w:r>
      <w:r w:rsidR="00845FED">
        <w:rPr>
          <w:rFonts w:ascii="Open Sans" w:hAnsi="Open Sans" w:cs="Open Sans"/>
          <w:sz w:val="20"/>
          <w:szCs w:val="20"/>
        </w:rPr>
        <w:t>1,0</w:t>
      </w:r>
      <w:r w:rsidR="00313AB1">
        <w:rPr>
          <w:rFonts w:ascii="Open Sans" w:hAnsi="Open Sans" w:cs="Open Sans"/>
          <w:sz w:val="20"/>
          <w:szCs w:val="20"/>
        </w:rPr>
        <w:t>%.</w:t>
      </w:r>
    </w:p>
    <w:p w14:paraId="217F5B44" w14:textId="4EA08EA5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Knjigovodska vrednost delnice</w:t>
      </w:r>
      <w:r w:rsidR="004708DF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izračunana kot razmerje med celotnim kapitalom družbe in </w:t>
      </w:r>
      <w:r w:rsidR="001048FD">
        <w:rPr>
          <w:rFonts w:ascii="Open Sans" w:hAnsi="Open Sans" w:cs="Open Sans"/>
          <w:sz w:val="20"/>
          <w:szCs w:val="20"/>
        </w:rPr>
        <w:t>številom vseh delnic</w:t>
      </w:r>
      <w:r w:rsidR="004708DF">
        <w:rPr>
          <w:rFonts w:ascii="Open Sans" w:hAnsi="Open Sans" w:cs="Open Sans"/>
          <w:sz w:val="20"/>
          <w:szCs w:val="20"/>
        </w:rPr>
        <w:t>,</w:t>
      </w:r>
      <w:r w:rsidR="001048FD">
        <w:rPr>
          <w:rFonts w:ascii="Open Sans" w:hAnsi="Open Sans" w:cs="Open Sans"/>
          <w:sz w:val="20"/>
          <w:szCs w:val="20"/>
        </w:rPr>
        <w:t xml:space="preserve"> na dan</w:t>
      </w:r>
      <w:r w:rsidR="00D31FBC">
        <w:rPr>
          <w:rFonts w:ascii="Open Sans" w:hAnsi="Open Sans" w:cs="Open Sans"/>
          <w:sz w:val="20"/>
          <w:szCs w:val="20"/>
        </w:rPr>
        <w:t xml:space="preserve"> 30.6</w:t>
      </w:r>
      <w:r w:rsidR="00A77A4C">
        <w:rPr>
          <w:rFonts w:ascii="Open Sans" w:hAnsi="Open Sans" w:cs="Open Sans"/>
          <w:sz w:val="20"/>
          <w:szCs w:val="20"/>
        </w:rPr>
        <w:t>.202</w:t>
      </w:r>
      <w:r w:rsidR="00845FED">
        <w:rPr>
          <w:rFonts w:ascii="Open Sans" w:hAnsi="Open Sans" w:cs="Open Sans"/>
          <w:sz w:val="20"/>
          <w:szCs w:val="20"/>
        </w:rPr>
        <w:t>2</w:t>
      </w:r>
      <w:r w:rsidR="008A4C1E">
        <w:rPr>
          <w:rFonts w:ascii="Open Sans" w:hAnsi="Open Sans" w:cs="Open Sans"/>
          <w:sz w:val="20"/>
          <w:szCs w:val="20"/>
        </w:rPr>
        <w:t xml:space="preserve"> znaša </w:t>
      </w:r>
      <w:r w:rsidR="00413BED">
        <w:rPr>
          <w:rFonts w:ascii="Open Sans" w:hAnsi="Open Sans" w:cs="Open Sans"/>
          <w:sz w:val="20"/>
          <w:szCs w:val="20"/>
        </w:rPr>
        <w:t>1</w:t>
      </w:r>
      <w:r w:rsidR="00215D35">
        <w:rPr>
          <w:rFonts w:ascii="Open Sans" w:hAnsi="Open Sans" w:cs="Open Sans"/>
          <w:sz w:val="20"/>
          <w:szCs w:val="20"/>
        </w:rPr>
        <w:t>1</w:t>
      </w:r>
      <w:r w:rsidR="00413BED">
        <w:rPr>
          <w:rFonts w:ascii="Open Sans" w:hAnsi="Open Sans" w:cs="Open Sans"/>
          <w:sz w:val="20"/>
          <w:szCs w:val="20"/>
        </w:rPr>
        <w:t>,</w:t>
      </w:r>
      <w:r w:rsidR="00215D35">
        <w:rPr>
          <w:rFonts w:ascii="Open Sans" w:hAnsi="Open Sans" w:cs="Open Sans"/>
          <w:sz w:val="20"/>
          <w:szCs w:val="20"/>
        </w:rPr>
        <w:t>35</w:t>
      </w:r>
      <w:r w:rsidR="00413BED">
        <w:rPr>
          <w:rFonts w:ascii="Open Sans" w:hAnsi="Open Sans" w:cs="Open Sans"/>
          <w:sz w:val="20"/>
          <w:szCs w:val="20"/>
        </w:rPr>
        <w:t xml:space="preserve"> </w:t>
      </w:r>
      <w:r w:rsidR="00465C22">
        <w:rPr>
          <w:rFonts w:ascii="Open Sans" w:hAnsi="Open Sans" w:cs="Open Sans"/>
          <w:sz w:val="20"/>
          <w:szCs w:val="20"/>
        </w:rPr>
        <w:t>EUR (31.12.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270A39">
        <w:rPr>
          <w:rFonts w:ascii="Open Sans" w:hAnsi="Open Sans" w:cs="Open Sans"/>
          <w:sz w:val="20"/>
          <w:szCs w:val="20"/>
        </w:rPr>
        <w:t>1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A77A4C">
        <w:rPr>
          <w:rFonts w:ascii="Open Sans" w:hAnsi="Open Sans" w:cs="Open Sans"/>
          <w:sz w:val="20"/>
          <w:szCs w:val="20"/>
        </w:rPr>
        <w:t xml:space="preserve"> 11,</w:t>
      </w:r>
      <w:r w:rsidR="00215D35">
        <w:rPr>
          <w:rFonts w:ascii="Open Sans" w:hAnsi="Open Sans" w:cs="Open Sans"/>
          <w:sz w:val="20"/>
          <w:szCs w:val="20"/>
        </w:rPr>
        <w:t>09</w:t>
      </w:r>
      <w:r w:rsidR="00E63A6D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 xml:space="preserve">). </w:t>
      </w:r>
    </w:p>
    <w:p w14:paraId="13D29038" w14:textId="1AF8C50C" w:rsidR="000434F1" w:rsidRDefault="00696275" w:rsidP="000434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dobiček na delnico </w:t>
      </w:r>
      <w:r w:rsidR="008C38AC">
        <w:rPr>
          <w:rFonts w:ascii="Open Sans" w:hAnsi="Open Sans" w:cs="Open Sans"/>
          <w:sz w:val="20"/>
          <w:szCs w:val="20"/>
        </w:rPr>
        <w:t xml:space="preserve">je </w:t>
      </w:r>
      <w:r w:rsidR="00E63A6D" w:rsidRPr="00992E71">
        <w:rPr>
          <w:rFonts w:ascii="Open Sans" w:hAnsi="Open Sans" w:cs="Open Sans"/>
          <w:sz w:val="20"/>
          <w:szCs w:val="20"/>
        </w:rPr>
        <w:t>v obdobju 1.1. do</w:t>
      </w:r>
      <w:r w:rsidR="00A71C3A">
        <w:rPr>
          <w:rFonts w:ascii="Open Sans" w:hAnsi="Open Sans" w:cs="Open Sans"/>
          <w:sz w:val="20"/>
          <w:szCs w:val="20"/>
        </w:rPr>
        <w:t xml:space="preserve"> 30.6</w:t>
      </w:r>
      <w:r w:rsidR="00AC61E1">
        <w:rPr>
          <w:rFonts w:ascii="Open Sans" w:hAnsi="Open Sans" w:cs="Open Sans"/>
          <w:sz w:val="20"/>
          <w:szCs w:val="20"/>
        </w:rPr>
        <w:t>.202</w:t>
      </w:r>
      <w:r w:rsidR="00845FED">
        <w:rPr>
          <w:rFonts w:ascii="Open Sans" w:hAnsi="Open Sans" w:cs="Open Sans"/>
          <w:sz w:val="20"/>
          <w:szCs w:val="20"/>
        </w:rPr>
        <w:t>2</w:t>
      </w:r>
      <w:r w:rsidRPr="00992E71">
        <w:rPr>
          <w:rFonts w:ascii="Open Sans" w:hAnsi="Open Sans" w:cs="Open Sans"/>
          <w:sz w:val="20"/>
          <w:szCs w:val="20"/>
        </w:rPr>
        <w:t xml:space="preserve"> znaša</w:t>
      </w:r>
      <w:r w:rsidR="008C38AC">
        <w:rPr>
          <w:rFonts w:ascii="Open Sans" w:hAnsi="Open Sans" w:cs="Open Sans"/>
          <w:sz w:val="20"/>
          <w:szCs w:val="20"/>
        </w:rPr>
        <w:t>l</w:t>
      </w:r>
      <w:r w:rsidR="00045166">
        <w:rPr>
          <w:rFonts w:ascii="Open Sans" w:hAnsi="Open Sans" w:cs="Open Sans"/>
          <w:sz w:val="20"/>
          <w:szCs w:val="20"/>
        </w:rPr>
        <w:t xml:space="preserve"> </w:t>
      </w:r>
      <w:r w:rsidR="00413BED">
        <w:rPr>
          <w:rFonts w:ascii="Open Sans" w:hAnsi="Open Sans" w:cs="Open Sans"/>
          <w:sz w:val="20"/>
          <w:szCs w:val="20"/>
        </w:rPr>
        <w:t xml:space="preserve">0,54 </w:t>
      </w:r>
      <w:r w:rsidR="00E63A6D" w:rsidRPr="00992E71">
        <w:rPr>
          <w:rFonts w:ascii="Open Sans" w:hAnsi="Open Sans" w:cs="Open Sans"/>
          <w:sz w:val="20"/>
          <w:szCs w:val="20"/>
        </w:rPr>
        <w:t>EUR</w:t>
      </w:r>
      <w:r w:rsidR="00A71C3A">
        <w:rPr>
          <w:rFonts w:ascii="Open Sans" w:hAnsi="Open Sans" w:cs="Open Sans"/>
          <w:sz w:val="20"/>
          <w:szCs w:val="20"/>
        </w:rPr>
        <w:t xml:space="preserve"> (1.1. – 30.6</w:t>
      </w:r>
      <w:r w:rsidR="00616CB0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270A39">
        <w:rPr>
          <w:rFonts w:ascii="Open Sans" w:hAnsi="Open Sans" w:cs="Open Sans"/>
          <w:sz w:val="20"/>
          <w:szCs w:val="20"/>
        </w:rPr>
        <w:t>1</w:t>
      </w:r>
      <w:r w:rsidR="00616CB0">
        <w:rPr>
          <w:rFonts w:ascii="Open Sans" w:hAnsi="Open Sans" w:cs="Open Sans"/>
          <w:sz w:val="20"/>
          <w:szCs w:val="20"/>
        </w:rPr>
        <w:t xml:space="preserve">: </w:t>
      </w:r>
      <w:r w:rsidR="00413BED">
        <w:rPr>
          <w:rFonts w:ascii="Open Sans" w:hAnsi="Open Sans" w:cs="Open Sans"/>
          <w:sz w:val="20"/>
          <w:szCs w:val="20"/>
        </w:rPr>
        <w:t>1,2</w:t>
      </w:r>
      <w:r w:rsidR="00830009">
        <w:rPr>
          <w:rFonts w:ascii="Open Sans" w:hAnsi="Open Sans" w:cs="Open Sans"/>
          <w:sz w:val="20"/>
          <w:szCs w:val="20"/>
        </w:rPr>
        <w:t>0</w:t>
      </w:r>
      <w:r w:rsidR="00D97CCE">
        <w:rPr>
          <w:rFonts w:ascii="Open Sans" w:hAnsi="Open Sans" w:cs="Open Sans"/>
          <w:sz w:val="20"/>
          <w:szCs w:val="20"/>
        </w:rPr>
        <w:t xml:space="preserve"> EUR)</w:t>
      </w:r>
      <w:r w:rsidR="00B00F21">
        <w:rPr>
          <w:rFonts w:ascii="Open Sans" w:hAnsi="Open Sans" w:cs="Open Sans"/>
          <w:sz w:val="20"/>
          <w:szCs w:val="20"/>
        </w:rPr>
        <w:t>.</w:t>
      </w:r>
    </w:p>
    <w:p w14:paraId="32ECF658" w14:textId="77777777" w:rsidR="001D0A8E" w:rsidRPr="00992E71" w:rsidRDefault="001D0A8E" w:rsidP="000434F1">
      <w:pPr>
        <w:jc w:val="both"/>
        <w:rPr>
          <w:rFonts w:ascii="Open Sans" w:hAnsi="Open Sans" w:cs="Open Sans"/>
          <w:sz w:val="20"/>
          <w:szCs w:val="20"/>
        </w:rPr>
      </w:pPr>
    </w:p>
    <w:p w14:paraId="0FF3650D" w14:textId="77777777" w:rsidR="00785FFA" w:rsidRPr="00992E71" w:rsidRDefault="00962C1D" w:rsidP="0063458B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Ključne strateške usmeritve</w:t>
      </w:r>
      <w:r w:rsidR="00015D20" w:rsidRPr="00992E71">
        <w:rPr>
          <w:rFonts w:ascii="Open Sans" w:hAnsi="Open Sans" w:cs="Open Sans"/>
          <w:b/>
          <w:sz w:val="20"/>
          <w:szCs w:val="20"/>
        </w:rPr>
        <w:t xml:space="preserve"> družbe</w:t>
      </w:r>
    </w:p>
    <w:p w14:paraId="731AC3A6" w14:textId="26439327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bookmarkStart w:id="0" w:name="_Hlk71492612"/>
      <w:r w:rsidRPr="00394C59">
        <w:rPr>
          <w:rFonts w:ascii="Open Sans" w:hAnsi="Open Sans" w:cs="Open Sans"/>
          <w:sz w:val="20"/>
          <w:szCs w:val="20"/>
        </w:rPr>
        <w:t xml:space="preserve">Nadzorni svet družbe je konec leta 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C56D25">
        <w:rPr>
          <w:rFonts w:ascii="Open Sans" w:hAnsi="Open Sans" w:cs="Open Sans"/>
          <w:sz w:val="20"/>
          <w:szCs w:val="20"/>
        </w:rPr>
        <w:t>1</w:t>
      </w:r>
      <w:r w:rsidRPr="00394C59">
        <w:rPr>
          <w:rFonts w:ascii="Open Sans" w:hAnsi="Open Sans" w:cs="Open Sans"/>
          <w:sz w:val="20"/>
          <w:szCs w:val="20"/>
        </w:rPr>
        <w:t xml:space="preserve"> potrdil strategijo družbe za obdobje od leta 2022 do leta 2026, ki je usmerjena zlasti v razvoj in tržno optimiziranje obstoječih nepremičnin. Strategija družbe je projektne narave in vključuje razvoj posameznih nepremičnin v smeri najoptimalnejše rabe in najvišje donosnosti.</w:t>
      </w:r>
    </w:p>
    <w:bookmarkEnd w:id="0"/>
    <w:p w14:paraId="57EC480E" w14:textId="77777777" w:rsidR="00C559DA" w:rsidRPr="001D0A8E" w:rsidRDefault="00C559DA" w:rsidP="001D0A8E">
      <w:pPr>
        <w:jc w:val="both"/>
        <w:rPr>
          <w:rFonts w:ascii="Open Sans" w:hAnsi="Open Sans" w:cs="Open Sans"/>
          <w:sz w:val="20"/>
          <w:szCs w:val="20"/>
        </w:rPr>
      </w:pPr>
    </w:p>
    <w:p w14:paraId="32D26E7E" w14:textId="77777777" w:rsidR="00676795" w:rsidRPr="00992E71" w:rsidRDefault="00676795" w:rsidP="00DE7229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Sistem notranjih kontrol in revizija</w:t>
      </w:r>
    </w:p>
    <w:p w14:paraId="4DE59EE1" w14:textId="77777777" w:rsidR="00767E55" w:rsidRPr="00992E71" w:rsidRDefault="007A62B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Družba ima vzpostavljen sistem notranjih kontrol, ki zagotavlja učinkovitost delovanja, zanesljivost računovodskega poročanja in skladnost poslovanja z veljavno zakonodajo.</w:t>
      </w:r>
      <w:r w:rsidR="00767E55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D0D0609" w14:textId="77777777" w:rsidR="00DE7229" w:rsidRPr="00992E71" w:rsidRDefault="00767E5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Pravilnost, popolnost in resničnost računovodskega poročanja se zagotavlja z izvajanjem notranjih kontrol ob evidentiranju poslovnih dogodkov. Zagotovljena je ustrezna razmejitev dolžnosti in odgovornosti.</w:t>
      </w:r>
      <w:r w:rsidR="00F7576C" w:rsidRPr="00992E71">
        <w:rPr>
          <w:rFonts w:ascii="Open Sans" w:hAnsi="Open Sans" w:cs="Open Sans"/>
          <w:sz w:val="20"/>
          <w:szCs w:val="20"/>
        </w:rPr>
        <w:t xml:space="preserve"> Računovodsko področje je informacijsko podprto, v informacijske sisteme so vgrajene sistemske kontrole.</w:t>
      </w:r>
    </w:p>
    <w:p w14:paraId="77AD8179" w14:textId="77777777" w:rsidR="00DA6069" w:rsidRPr="00992E71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 okviru nadzornega sveta deluje revizijska komisija, ki spremlja postopek računovodskega poročanja, nadzoruje neoporečnost finančnih informacij družbe, spremlja učinkovitost in uspešnost vzpostavljenih notranjih kontrol ter pripravlja priporočila za njihove izboljšave.</w:t>
      </w:r>
    </w:p>
    <w:p w14:paraId="7992A280" w14:textId="2AA819D6" w:rsidR="00DA6069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Služba notranje revizije v družbi ni vzpostavljena.</w:t>
      </w:r>
    </w:p>
    <w:p w14:paraId="6323ABA5" w14:textId="77777777" w:rsidR="00B54E7A" w:rsidRPr="00992E71" w:rsidRDefault="00B54E7A" w:rsidP="00DE7229">
      <w:pPr>
        <w:jc w:val="both"/>
        <w:rPr>
          <w:rFonts w:ascii="Open Sans" w:hAnsi="Open Sans" w:cs="Open Sans"/>
          <w:sz w:val="20"/>
          <w:szCs w:val="20"/>
        </w:rPr>
      </w:pPr>
    </w:p>
    <w:p w14:paraId="0971040F" w14:textId="726CAA38" w:rsidR="008B0220" w:rsidRPr="00430822" w:rsidRDefault="00F0117D" w:rsidP="00E3254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430822">
        <w:rPr>
          <w:rFonts w:ascii="Open Sans" w:hAnsi="Open Sans" w:cs="Open Sans"/>
          <w:b/>
          <w:sz w:val="20"/>
          <w:szCs w:val="20"/>
        </w:rPr>
        <w:t>Spremljanje in obvladovanje tveganj</w:t>
      </w:r>
    </w:p>
    <w:p w14:paraId="6EC39F62" w14:textId="615249AF" w:rsidR="00A6216C" w:rsidRDefault="00A6216C" w:rsidP="00D9658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 družbi Nama d.d. </w:t>
      </w:r>
      <w:r w:rsidR="00A53AA7">
        <w:rPr>
          <w:rFonts w:ascii="Open Sans" w:hAnsi="Open Sans" w:cs="Open Sans"/>
          <w:sz w:val="20"/>
          <w:szCs w:val="20"/>
        </w:rPr>
        <w:t xml:space="preserve">Ljubljana </w:t>
      </w:r>
      <w:r>
        <w:rPr>
          <w:rFonts w:ascii="Open Sans" w:hAnsi="Open Sans" w:cs="Open Sans"/>
          <w:sz w:val="20"/>
          <w:szCs w:val="20"/>
        </w:rPr>
        <w:t xml:space="preserve">posebno pozornost namenjamo upravljanju tveganj, ki zajema ugotavljanje, merjenje, obvladovanje in spremljanje tveganj, ki jim je ali bi jim lahko bila družba izpostavljena pri svojem poslovanju. </w:t>
      </w:r>
    </w:p>
    <w:p w14:paraId="4FB57B28" w14:textId="1856BE94" w:rsidR="006F41E2" w:rsidRPr="00992E71" w:rsidRDefault="00A53AA7" w:rsidP="00CD1E00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D</w:t>
      </w:r>
      <w:r w:rsidR="006F41E2" w:rsidRPr="00992E71">
        <w:rPr>
          <w:rFonts w:ascii="Open Sans" w:hAnsi="Open Sans" w:cs="Open Sans"/>
          <w:sz w:val="20"/>
          <w:szCs w:val="20"/>
        </w:rPr>
        <w:t xml:space="preserve">ružba </w:t>
      </w:r>
      <w:r>
        <w:rPr>
          <w:rFonts w:ascii="Open Sans" w:hAnsi="Open Sans" w:cs="Open Sans"/>
          <w:sz w:val="20"/>
          <w:szCs w:val="20"/>
        </w:rPr>
        <w:t>se</w:t>
      </w:r>
      <w:r w:rsidR="007B7229">
        <w:rPr>
          <w:rFonts w:ascii="Open Sans" w:hAnsi="Open Sans" w:cs="Open Sans"/>
          <w:sz w:val="20"/>
          <w:szCs w:val="20"/>
        </w:rPr>
        <w:t xml:space="preserve"> </w:t>
      </w:r>
      <w:r w:rsidR="006F41E2" w:rsidRPr="00992E71">
        <w:rPr>
          <w:rFonts w:ascii="Open Sans" w:hAnsi="Open Sans" w:cs="Open Sans"/>
          <w:sz w:val="20"/>
          <w:szCs w:val="20"/>
        </w:rPr>
        <w:t>pri svojem poslovanju srečuje z naslednjimi tveganji:</w:t>
      </w:r>
    </w:p>
    <w:p w14:paraId="004280DB" w14:textId="40E35041" w:rsidR="00CE3F86" w:rsidRDefault="00A6216C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Strateška in p</w:t>
      </w:r>
      <w:r w:rsidR="00654BB8" w:rsidRPr="00992E71">
        <w:rPr>
          <w:rFonts w:ascii="Open Sans" w:hAnsi="Open Sans" w:cs="Open Sans"/>
          <w:sz w:val="20"/>
          <w:szCs w:val="20"/>
        </w:rPr>
        <w:t>oslovna tveganja</w:t>
      </w:r>
    </w:p>
    <w:p w14:paraId="0A503E4D" w14:textId="45B37EC0" w:rsidR="00A6216C" w:rsidRPr="00992E71" w:rsidRDefault="00A6216C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Operativna tveganja</w:t>
      </w:r>
      <w:r w:rsidR="00B91779">
        <w:rPr>
          <w:rFonts w:ascii="Open Sans" w:hAnsi="Open Sans" w:cs="Open Sans"/>
          <w:sz w:val="20"/>
          <w:szCs w:val="20"/>
        </w:rPr>
        <w:t xml:space="preserve"> (prodajna tveganja in nabavna tveganja)</w:t>
      </w:r>
    </w:p>
    <w:p w14:paraId="12560470" w14:textId="472B162A" w:rsidR="00EE09CF" w:rsidRPr="00992E71" w:rsidRDefault="00EE09CF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Finančna tveganja</w:t>
      </w:r>
      <w:r w:rsidR="00B30B45">
        <w:rPr>
          <w:rFonts w:ascii="Open Sans" w:hAnsi="Open Sans" w:cs="Open Sans"/>
          <w:sz w:val="20"/>
          <w:szCs w:val="20"/>
        </w:rPr>
        <w:t xml:space="preserve"> (</w:t>
      </w:r>
      <w:r w:rsidR="00B30B45" w:rsidRPr="00B30B45">
        <w:rPr>
          <w:rFonts w:ascii="Open Sans" w:hAnsi="Open Sans" w:cs="Open Sans"/>
          <w:sz w:val="20"/>
          <w:szCs w:val="20"/>
        </w:rPr>
        <w:t>kreditno tveganje, likvidnostno tveganje in tveganje plačilne sposobnosti, tržna tveganja)</w:t>
      </w:r>
    </w:p>
    <w:p w14:paraId="5DF34845" w14:textId="77777777" w:rsidR="0003385A" w:rsidRDefault="00A23219" w:rsidP="00165CE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Največj</w:t>
      </w:r>
      <w:r w:rsidR="002A63E4">
        <w:rPr>
          <w:rFonts w:ascii="Open Sans" w:hAnsi="Open Sans" w:cs="Open Sans"/>
          <w:sz w:val="20"/>
          <w:szCs w:val="20"/>
        </w:rPr>
        <w:t>e</w:t>
      </w:r>
      <w:r>
        <w:rPr>
          <w:rFonts w:ascii="Open Sans" w:hAnsi="Open Sans" w:cs="Open Sans"/>
          <w:sz w:val="20"/>
          <w:szCs w:val="20"/>
        </w:rPr>
        <w:t xml:space="preserve"> stratešk</w:t>
      </w:r>
      <w:r w:rsidR="002A63E4">
        <w:rPr>
          <w:rFonts w:ascii="Open Sans" w:hAnsi="Open Sans" w:cs="Open Sans"/>
          <w:sz w:val="20"/>
          <w:szCs w:val="20"/>
        </w:rPr>
        <w:t>o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2A63E4">
        <w:rPr>
          <w:rFonts w:ascii="Open Sans" w:hAnsi="Open Sans" w:cs="Open Sans"/>
          <w:sz w:val="20"/>
          <w:szCs w:val="20"/>
        </w:rPr>
        <w:t xml:space="preserve">in poslovno </w:t>
      </w:r>
      <w:r>
        <w:rPr>
          <w:rFonts w:ascii="Open Sans" w:hAnsi="Open Sans" w:cs="Open Sans"/>
          <w:sz w:val="20"/>
          <w:szCs w:val="20"/>
        </w:rPr>
        <w:t>tveganj</w:t>
      </w:r>
      <w:r w:rsidR="002A63E4">
        <w:rPr>
          <w:rFonts w:ascii="Open Sans" w:hAnsi="Open Sans" w:cs="Open Sans"/>
          <w:sz w:val="20"/>
          <w:szCs w:val="20"/>
        </w:rPr>
        <w:t>e</w:t>
      </w:r>
      <w:r>
        <w:rPr>
          <w:rFonts w:ascii="Open Sans" w:hAnsi="Open Sans" w:cs="Open Sans"/>
          <w:sz w:val="20"/>
          <w:szCs w:val="20"/>
        </w:rPr>
        <w:t xml:space="preserve"> družbe, ki bi lahko vodil</w:t>
      </w:r>
      <w:r w:rsidR="002A63E4">
        <w:rPr>
          <w:rFonts w:ascii="Open Sans" w:hAnsi="Open Sans" w:cs="Open Sans"/>
          <w:sz w:val="20"/>
          <w:szCs w:val="20"/>
        </w:rPr>
        <w:t>o</w:t>
      </w:r>
      <w:r>
        <w:rPr>
          <w:rFonts w:ascii="Open Sans" w:hAnsi="Open Sans" w:cs="Open Sans"/>
          <w:sz w:val="20"/>
          <w:szCs w:val="20"/>
        </w:rPr>
        <w:t xml:space="preserve"> v nedoseganje ciljev, </w:t>
      </w:r>
      <w:r w:rsidR="00B06D67">
        <w:rPr>
          <w:rFonts w:ascii="Open Sans" w:hAnsi="Open Sans" w:cs="Open Sans"/>
          <w:sz w:val="20"/>
          <w:szCs w:val="20"/>
        </w:rPr>
        <w:t>so</w:t>
      </w:r>
      <w:r>
        <w:rPr>
          <w:rFonts w:ascii="Open Sans" w:hAnsi="Open Sans" w:cs="Open Sans"/>
          <w:sz w:val="20"/>
          <w:szCs w:val="20"/>
        </w:rPr>
        <w:t xml:space="preserve"> predvsem tveganj</w:t>
      </w:r>
      <w:r w:rsidR="00B06D67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povezan</w:t>
      </w:r>
      <w:r w:rsidR="00B06D67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z epidemijo Covid-19</w:t>
      </w:r>
      <w:r w:rsidR="00E65E9C">
        <w:rPr>
          <w:rFonts w:ascii="Open Sans" w:hAnsi="Open Sans" w:cs="Open Sans"/>
          <w:sz w:val="20"/>
          <w:szCs w:val="20"/>
        </w:rPr>
        <w:t xml:space="preserve">. </w:t>
      </w:r>
      <w:r w:rsidR="0003385A">
        <w:rPr>
          <w:rFonts w:ascii="Open Sans" w:hAnsi="Open Sans" w:cs="Open Sans"/>
          <w:sz w:val="20"/>
          <w:szCs w:val="20"/>
        </w:rPr>
        <w:t>In sicer:</w:t>
      </w:r>
    </w:p>
    <w:p w14:paraId="54C7D42F" w14:textId="37B9951E" w:rsidR="0003385A" w:rsidRDefault="0003385A" w:rsidP="0003385A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CD1E00">
        <w:rPr>
          <w:rFonts w:ascii="Open Sans" w:hAnsi="Open Sans" w:cs="Open Sans"/>
          <w:sz w:val="20"/>
          <w:szCs w:val="20"/>
        </w:rPr>
        <w:t>t</w:t>
      </w:r>
      <w:r w:rsidR="00892660" w:rsidRPr="00CD1E00">
        <w:rPr>
          <w:rFonts w:ascii="Open Sans" w:hAnsi="Open Sans" w:cs="Open Sans"/>
          <w:sz w:val="20"/>
          <w:szCs w:val="20"/>
        </w:rPr>
        <w:t>veganje poslabšanj</w:t>
      </w:r>
      <w:r w:rsidR="00B06D67" w:rsidRPr="00CD1E00">
        <w:rPr>
          <w:rFonts w:ascii="Open Sans" w:hAnsi="Open Sans" w:cs="Open Sans"/>
          <w:sz w:val="20"/>
          <w:szCs w:val="20"/>
        </w:rPr>
        <w:t>a</w:t>
      </w:r>
      <w:r w:rsidR="00892660" w:rsidRPr="00CD1E00">
        <w:rPr>
          <w:rFonts w:ascii="Open Sans" w:hAnsi="Open Sans" w:cs="Open Sans"/>
          <w:sz w:val="20"/>
          <w:szCs w:val="20"/>
        </w:rPr>
        <w:t xml:space="preserve"> epidemioloških razmer v Republiki Sloveniji, ter morebitno zaostrovanje in sprejemanje vladnih odlokov, s katerimi bi se</w:t>
      </w:r>
      <w:r w:rsidR="00E65E9C" w:rsidRPr="00CD1E00">
        <w:rPr>
          <w:rFonts w:ascii="Open Sans" w:hAnsi="Open Sans" w:cs="Open Sans"/>
          <w:sz w:val="20"/>
          <w:szCs w:val="20"/>
        </w:rPr>
        <w:t xml:space="preserve"> omejilo ali </w:t>
      </w:r>
      <w:r w:rsidR="00892660" w:rsidRPr="00CD1E00">
        <w:rPr>
          <w:rFonts w:ascii="Open Sans" w:hAnsi="Open Sans" w:cs="Open Sans"/>
          <w:sz w:val="20"/>
          <w:szCs w:val="20"/>
        </w:rPr>
        <w:t xml:space="preserve"> </w:t>
      </w:r>
      <w:r w:rsidR="004E6445" w:rsidRPr="00CD1E00">
        <w:rPr>
          <w:rFonts w:ascii="Open Sans" w:hAnsi="Open Sans" w:cs="Open Sans"/>
          <w:sz w:val="20"/>
          <w:szCs w:val="20"/>
        </w:rPr>
        <w:t xml:space="preserve">celo </w:t>
      </w:r>
      <w:r w:rsidR="00892660" w:rsidRPr="00CD1E00">
        <w:rPr>
          <w:rFonts w:ascii="Open Sans" w:hAnsi="Open Sans" w:cs="Open Sans"/>
          <w:sz w:val="20"/>
          <w:szCs w:val="20"/>
        </w:rPr>
        <w:t>prepovedalo ponujanje blaga in storitev potrošnikom v Republiki Sloveniji</w:t>
      </w:r>
      <w:r w:rsidR="00E65E9C" w:rsidRPr="00CD1E00">
        <w:rPr>
          <w:rFonts w:ascii="Open Sans" w:hAnsi="Open Sans" w:cs="Open Sans"/>
          <w:sz w:val="20"/>
          <w:szCs w:val="20"/>
        </w:rPr>
        <w:t xml:space="preserve"> in s tem</w:t>
      </w:r>
      <w:r w:rsidR="00B06D67" w:rsidRPr="00CD1E00">
        <w:rPr>
          <w:rFonts w:ascii="Open Sans" w:hAnsi="Open Sans" w:cs="Open Sans"/>
          <w:sz w:val="20"/>
          <w:szCs w:val="20"/>
        </w:rPr>
        <w:t xml:space="preserve"> otežilo poslovanje trgovinskih </w:t>
      </w:r>
      <w:r w:rsidR="006938B2" w:rsidRPr="00CD1E00">
        <w:rPr>
          <w:rFonts w:ascii="Open Sans" w:hAnsi="Open Sans" w:cs="Open Sans"/>
          <w:sz w:val="20"/>
          <w:szCs w:val="20"/>
        </w:rPr>
        <w:t xml:space="preserve">in </w:t>
      </w:r>
      <w:r w:rsidR="00B06D67" w:rsidRPr="00CD1E00">
        <w:rPr>
          <w:rFonts w:ascii="Open Sans" w:hAnsi="Open Sans" w:cs="Open Sans"/>
          <w:sz w:val="20"/>
          <w:szCs w:val="20"/>
        </w:rPr>
        <w:t>gostinskih najemnikov</w:t>
      </w:r>
      <w:r w:rsidR="006938B2" w:rsidRPr="00CD1E00">
        <w:rPr>
          <w:rFonts w:ascii="Open Sans" w:hAnsi="Open Sans" w:cs="Open Sans"/>
          <w:sz w:val="20"/>
          <w:szCs w:val="20"/>
        </w:rPr>
        <w:t xml:space="preserve">, </w:t>
      </w:r>
      <w:r w:rsidR="004E6445" w:rsidRPr="00CD1E00">
        <w:rPr>
          <w:rFonts w:ascii="Open Sans" w:hAnsi="Open Sans" w:cs="Open Sans"/>
          <w:sz w:val="20"/>
          <w:szCs w:val="20"/>
        </w:rPr>
        <w:t>ter posledično vplivalo na njihovo finančno sposobnost</w:t>
      </w:r>
      <w:r>
        <w:rPr>
          <w:rFonts w:ascii="Open Sans" w:hAnsi="Open Sans" w:cs="Open Sans"/>
          <w:sz w:val="20"/>
          <w:szCs w:val="20"/>
        </w:rPr>
        <w:t>;</w:t>
      </w:r>
    </w:p>
    <w:p w14:paraId="27DFE9BC" w14:textId="683AE48A" w:rsidR="00E07798" w:rsidRPr="00CD1E00" w:rsidRDefault="0003385A" w:rsidP="00CD1E00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</w:t>
      </w:r>
      <w:r w:rsidR="00A23219" w:rsidRPr="00CD1E00">
        <w:rPr>
          <w:rFonts w:ascii="Open Sans" w:hAnsi="Open Sans" w:cs="Open Sans"/>
          <w:sz w:val="20"/>
          <w:szCs w:val="20"/>
        </w:rPr>
        <w:t xml:space="preserve">veganje spremenjenih poslovnih navad podjetij </w:t>
      </w:r>
      <w:r w:rsidR="004E6445" w:rsidRPr="00CD1E00">
        <w:rPr>
          <w:rFonts w:ascii="Open Sans" w:hAnsi="Open Sans" w:cs="Open Sans"/>
          <w:sz w:val="20"/>
          <w:szCs w:val="20"/>
        </w:rPr>
        <w:t xml:space="preserve">kot posledica Covid-19 </w:t>
      </w:r>
      <w:r w:rsidR="00A23219" w:rsidRPr="00CD1E00">
        <w:rPr>
          <w:rFonts w:ascii="Open Sans" w:hAnsi="Open Sans" w:cs="Open Sans"/>
          <w:sz w:val="20"/>
          <w:szCs w:val="20"/>
        </w:rPr>
        <w:t xml:space="preserve">v obliki dela od </w:t>
      </w:r>
      <w:r w:rsidR="00B06D67" w:rsidRPr="00CD1E00">
        <w:rPr>
          <w:rFonts w:ascii="Open Sans" w:hAnsi="Open Sans" w:cs="Open Sans"/>
          <w:sz w:val="20"/>
          <w:szCs w:val="20"/>
        </w:rPr>
        <w:t>doma</w:t>
      </w:r>
      <w:r w:rsidR="00E65E9C" w:rsidRPr="00CD1E00">
        <w:rPr>
          <w:rFonts w:ascii="Open Sans" w:hAnsi="Open Sans" w:cs="Open Sans"/>
          <w:sz w:val="20"/>
          <w:szCs w:val="20"/>
        </w:rPr>
        <w:t xml:space="preserve"> in morebiten vpliv na realizirano višino najemnin poslovnih prostorov in stopnjo oddanosti poslovnih nepremičnin.</w:t>
      </w:r>
    </w:p>
    <w:p w14:paraId="60A5D922" w14:textId="0B48D9ED" w:rsidR="00B73468" w:rsidRDefault="00B73468" w:rsidP="00E0779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Poslovanje družbe je v prvem polletju leta 2022 še vedno potekalo pod vplivom razmer epidemije Covid-19. Družba je v tem času sprejela določene ukrepe ter</w:t>
      </w:r>
      <w:r w:rsidRPr="00BD72ED">
        <w:rPr>
          <w:rFonts w:ascii="Open Sans" w:hAnsi="Open Sans" w:cs="Open Sans"/>
          <w:sz w:val="20"/>
          <w:szCs w:val="20"/>
        </w:rPr>
        <w:t xml:space="preserve"> z delnim zniževanjem in odpisovanjem pogodbenih najemnin v čim večji možni meri </w:t>
      </w:r>
      <w:r>
        <w:rPr>
          <w:rFonts w:ascii="Open Sans" w:hAnsi="Open Sans" w:cs="Open Sans"/>
          <w:sz w:val="20"/>
          <w:szCs w:val="20"/>
        </w:rPr>
        <w:t xml:space="preserve">skušala </w:t>
      </w:r>
      <w:r w:rsidRPr="00BD72ED">
        <w:rPr>
          <w:rFonts w:ascii="Open Sans" w:hAnsi="Open Sans" w:cs="Open Sans"/>
          <w:sz w:val="20"/>
          <w:szCs w:val="20"/>
        </w:rPr>
        <w:t>zadržati najemnike.</w:t>
      </w:r>
    </w:p>
    <w:p w14:paraId="66E9A904" w14:textId="2D34E0EE" w:rsidR="00572CBC" w:rsidRDefault="00E07798" w:rsidP="00E07798">
      <w:pPr>
        <w:jc w:val="both"/>
        <w:rPr>
          <w:rFonts w:ascii="Open Sans" w:hAnsi="Open Sans" w:cs="Open Sans"/>
          <w:sz w:val="20"/>
          <w:szCs w:val="20"/>
        </w:rPr>
      </w:pPr>
      <w:r w:rsidRPr="00BD72ED">
        <w:rPr>
          <w:rFonts w:ascii="Open Sans" w:hAnsi="Open Sans" w:cs="Open Sans"/>
          <w:sz w:val="20"/>
          <w:szCs w:val="20"/>
        </w:rPr>
        <w:t xml:space="preserve">Na področju nepremičninske dejavnosti </w:t>
      </w:r>
      <w:r>
        <w:rPr>
          <w:rFonts w:ascii="Open Sans" w:hAnsi="Open Sans" w:cs="Open Sans"/>
          <w:sz w:val="20"/>
          <w:szCs w:val="20"/>
        </w:rPr>
        <w:t xml:space="preserve">predstavlja </w:t>
      </w:r>
      <w:r w:rsidRPr="00BD72ED">
        <w:rPr>
          <w:rFonts w:ascii="Open Sans" w:hAnsi="Open Sans" w:cs="Open Sans"/>
          <w:sz w:val="20"/>
          <w:szCs w:val="20"/>
        </w:rPr>
        <w:t xml:space="preserve">prodajno tveganje, </w:t>
      </w:r>
      <w:r>
        <w:rPr>
          <w:rFonts w:ascii="Open Sans" w:hAnsi="Open Sans" w:cs="Open Sans"/>
          <w:sz w:val="20"/>
          <w:szCs w:val="20"/>
        </w:rPr>
        <w:t xml:space="preserve">tveganje nezmožnosti </w:t>
      </w:r>
      <w:r w:rsidRPr="00BD72ED">
        <w:rPr>
          <w:rFonts w:ascii="Open Sans" w:hAnsi="Open Sans" w:cs="Open Sans"/>
          <w:sz w:val="20"/>
          <w:szCs w:val="20"/>
        </w:rPr>
        <w:t>zadrža</w:t>
      </w:r>
      <w:r>
        <w:rPr>
          <w:rFonts w:ascii="Open Sans" w:hAnsi="Open Sans" w:cs="Open Sans"/>
          <w:sz w:val="20"/>
          <w:szCs w:val="20"/>
        </w:rPr>
        <w:t>nja</w:t>
      </w:r>
      <w:r w:rsidRPr="00BD72ED">
        <w:rPr>
          <w:rFonts w:ascii="Open Sans" w:hAnsi="Open Sans" w:cs="Open Sans"/>
          <w:sz w:val="20"/>
          <w:szCs w:val="20"/>
        </w:rPr>
        <w:t xml:space="preserve"> obstoječih najemnikov in realizira</w:t>
      </w:r>
      <w:r>
        <w:rPr>
          <w:rFonts w:ascii="Open Sans" w:hAnsi="Open Sans" w:cs="Open Sans"/>
          <w:sz w:val="20"/>
          <w:szCs w:val="20"/>
        </w:rPr>
        <w:t>nja</w:t>
      </w:r>
      <w:r w:rsidRPr="00BD72ED">
        <w:rPr>
          <w:rFonts w:ascii="Open Sans" w:hAnsi="Open Sans" w:cs="Open Sans"/>
          <w:sz w:val="20"/>
          <w:szCs w:val="20"/>
        </w:rPr>
        <w:t xml:space="preserve"> predvidenih prilivov iz naslova najemnin. Tveganje se obvladuje s spremljanjem strukture najemnikov, spremljanjem odzivov trga ter spremljanjem aktivnosti konkurentov.</w:t>
      </w:r>
    </w:p>
    <w:p w14:paraId="4D06EDEF" w14:textId="0F3CC96B" w:rsidR="007675EF" w:rsidRPr="00992E71" w:rsidRDefault="007675EF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Med finančnimi tveganji je najpomembnejše kreditno tveganje. To je tveganje, da </w:t>
      </w:r>
      <w:r w:rsidR="008851FE" w:rsidRPr="00992E71">
        <w:rPr>
          <w:rFonts w:ascii="Open Sans" w:hAnsi="Open Sans" w:cs="Open Sans"/>
          <w:sz w:val="20"/>
          <w:szCs w:val="20"/>
        </w:rPr>
        <w:t xml:space="preserve">nam </w:t>
      </w:r>
      <w:r w:rsidRPr="00992E71">
        <w:rPr>
          <w:rFonts w:ascii="Open Sans" w:hAnsi="Open Sans" w:cs="Open Sans"/>
          <w:sz w:val="20"/>
          <w:szCs w:val="20"/>
        </w:rPr>
        <w:t>za</w:t>
      </w:r>
      <w:r w:rsidR="00286510" w:rsidRPr="00992E71">
        <w:rPr>
          <w:rFonts w:ascii="Open Sans" w:hAnsi="Open Sans" w:cs="Open Sans"/>
          <w:sz w:val="20"/>
          <w:szCs w:val="20"/>
        </w:rPr>
        <w:t>radi slabe kreditne sposobnosti</w:t>
      </w:r>
      <w:r w:rsidRPr="00992E71">
        <w:rPr>
          <w:rFonts w:ascii="Open Sans" w:hAnsi="Open Sans" w:cs="Open Sans"/>
          <w:sz w:val="20"/>
          <w:szCs w:val="20"/>
        </w:rPr>
        <w:t xml:space="preserve"> naši poslovni partnerji ne bodo mogli poravnati zneskov, ki nam jih dolgujejo.</w:t>
      </w:r>
      <w:r w:rsidR="008851FE" w:rsidRPr="00992E71">
        <w:rPr>
          <w:rFonts w:ascii="Open Sans" w:hAnsi="Open Sans" w:cs="Open Sans"/>
          <w:sz w:val="20"/>
          <w:szCs w:val="20"/>
        </w:rPr>
        <w:t xml:space="preserve"> Kreditno tveganje se </w:t>
      </w:r>
      <w:r w:rsidR="00E600BF" w:rsidRPr="00992E71">
        <w:rPr>
          <w:rFonts w:ascii="Open Sans" w:hAnsi="Open Sans" w:cs="Open Sans"/>
          <w:sz w:val="20"/>
          <w:szCs w:val="20"/>
        </w:rPr>
        <w:t xml:space="preserve">v družbi pojavlja v zvezi s terjatvami do kupcev </w:t>
      </w:r>
      <w:r w:rsidR="00992E71">
        <w:rPr>
          <w:rFonts w:ascii="Open Sans" w:hAnsi="Open Sans" w:cs="Open Sans"/>
          <w:sz w:val="20"/>
          <w:szCs w:val="20"/>
        </w:rPr>
        <w:t xml:space="preserve">in najemnikov ter </w:t>
      </w:r>
      <w:r w:rsidR="00E600BF" w:rsidRPr="00992E71">
        <w:rPr>
          <w:rFonts w:ascii="Open Sans" w:hAnsi="Open Sans" w:cs="Open Sans"/>
          <w:sz w:val="20"/>
          <w:szCs w:val="20"/>
        </w:rPr>
        <w:t xml:space="preserve">finančnimi naložbami. </w:t>
      </w:r>
      <w:r w:rsidR="00477FAF" w:rsidRPr="00477FAF">
        <w:rPr>
          <w:rFonts w:ascii="Open Sans" w:hAnsi="Open Sans" w:cs="Open Sans"/>
          <w:sz w:val="20"/>
          <w:szCs w:val="20"/>
        </w:rPr>
        <w:t xml:space="preserve">V primeru poslovnih odnosov z najemniki se ob sklenitvi pogodbe pridobijo ustrezna zavarovanja, s čimer se pomembno zniža izpostavljenost do kreditnega tveganja posameznega najemnika. </w:t>
      </w:r>
      <w:r w:rsidR="005647CB" w:rsidRPr="00992E71">
        <w:rPr>
          <w:rFonts w:ascii="Open Sans" w:hAnsi="Open Sans" w:cs="Open Sans"/>
          <w:sz w:val="20"/>
          <w:szCs w:val="20"/>
        </w:rPr>
        <w:t xml:space="preserve">Družba tveganje </w:t>
      </w:r>
      <w:r w:rsidR="00602580" w:rsidRPr="00992E71">
        <w:rPr>
          <w:rFonts w:ascii="Open Sans" w:hAnsi="Open Sans" w:cs="Open Sans"/>
          <w:sz w:val="20"/>
          <w:szCs w:val="20"/>
        </w:rPr>
        <w:t>neplačil s strani</w:t>
      </w:r>
      <w:r w:rsidR="00307E92" w:rsidRPr="00992E71">
        <w:rPr>
          <w:rFonts w:ascii="Open Sans" w:hAnsi="Open Sans" w:cs="Open Sans"/>
          <w:sz w:val="20"/>
          <w:szCs w:val="20"/>
        </w:rPr>
        <w:t xml:space="preserve"> </w:t>
      </w:r>
      <w:r w:rsidR="00602580" w:rsidRPr="00992E71">
        <w:rPr>
          <w:rFonts w:ascii="Open Sans" w:hAnsi="Open Sans" w:cs="Open Sans"/>
          <w:sz w:val="20"/>
          <w:szCs w:val="20"/>
        </w:rPr>
        <w:t xml:space="preserve">kupcev </w:t>
      </w:r>
      <w:r w:rsidR="005647CB" w:rsidRPr="00992E71">
        <w:rPr>
          <w:rFonts w:ascii="Open Sans" w:hAnsi="Open Sans" w:cs="Open Sans"/>
          <w:sz w:val="20"/>
          <w:szCs w:val="20"/>
        </w:rPr>
        <w:t>obvladuje</w:t>
      </w:r>
      <w:r w:rsidR="006F4B74" w:rsidRPr="00992E71">
        <w:rPr>
          <w:rFonts w:ascii="Open Sans" w:hAnsi="Open Sans" w:cs="Open Sans"/>
          <w:sz w:val="20"/>
          <w:szCs w:val="20"/>
        </w:rPr>
        <w:t xml:space="preserve"> s spremljanjem bonitete novih poslovnih partnerjev, aktivnim spremljanjem</w:t>
      </w:r>
      <w:r w:rsidR="00602580" w:rsidRPr="00992E71">
        <w:rPr>
          <w:rFonts w:ascii="Open Sans" w:hAnsi="Open Sans" w:cs="Open Sans"/>
          <w:sz w:val="20"/>
          <w:szCs w:val="20"/>
        </w:rPr>
        <w:t xml:space="preserve"> </w:t>
      </w:r>
      <w:r w:rsidR="00DA7FD1" w:rsidRPr="00992E71">
        <w:rPr>
          <w:rFonts w:ascii="Open Sans" w:hAnsi="Open Sans" w:cs="Open Sans"/>
          <w:sz w:val="20"/>
          <w:szCs w:val="20"/>
        </w:rPr>
        <w:t>kreditne sposobnosti</w:t>
      </w:r>
      <w:r w:rsidR="006F4B74" w:rsidRPr="00992E71">
        <w:rPr>
          <w:rFonts w:ascii="Open Sans" w:hAnsi="Open Sans" w:cs="Open Sans"/>
          <w:sz w:val="20"/>
          <w:szCs w:val="20"/>
        </w:rPr>
        <w:t xml:space="preserve"> obstoječih poslovnih partnerjev</w:t>
      </w:r>
      <w:r w:rsidR="005647CB" w:rsidRPr="00992E71">
        <w:rPr>
          <w:rFonts w:ascii="Open Sans" w:hAnsi="Open Sans" w:cs="Open Sans"/>
          <w:sz w:val="20"/>
          <w:szCs w:val="20"/>
        </w:rPr>
        <w:t>,</w:t>
      </w:r>
      <w:r w:rsidR="006F4B74" w:rsidRPr="00992E71">
        <w:rPr>
          <w:rFonts w:ascii="Open Sans" w:hAnsi="Open Sans" w:cs="Open Sans"/>
          <w:sz w:val="20"/>
          <w:szCs w:val="20"/>
        </w:rPr>
        <w:t xml:space="preserve"> </w:t>
      </w:r>
      <w:r w:rsidR="005647CB" w:rsidRPr="00992E71">
        <w:rPr>
          <w:rFonts w:ascii="Open Sans" w:hAnsi="Open Sans" w:cs="Open Sans"/>
          <w:sz w:val="20"/>
          <w:szCs w:val="20"/>
        </w:rPr>
        <w:t xml:space="preserve"> sistematičnim spremljanjem </w:t>
      </w:r>
      <w:r w:rsidR="00DA7FD1" w:rsidRPr="00992E71">
        <w:rPr>
          <w:rFonts w:ascii="Open Sans" w:hAnsi="Open Sans" w:cs="Open Sans"/>
          <w:sz w:val="20"/>
          <w:szCs w:val="20"/>
        </w:rPr>
        <w:t>odprtih terjatev</w:t>
      </w:r>
      <w:r w:rsidR="00464F98" w:rsidRPr="00992E71">
        <w:rPr>
          <w:rFonts w:ascii="Open Sans" w:hAnsi="Open Sans" w:cs="Open Sans"/>
          <w:sz w:val="20"/>
          <w:szCs w:val="20"/>
        </w:rPr>
        <w:t xml:space="preserve"> in</w:t>
      </w:r>
      <w:r w:rsidR="00221906" w:rsidRPr="00992E71">
        <w:rPr>
          <w:rFonts w:ascii="Open Sans" w:hAnsi="Open Sans" w:cs="Open Sans"/>
          <w:sz w:val="20"/>
          <w:szCs w:val="20"/>
        </w:rPr>
        <w:t xml:space="preserve"> sistemom rednega opominjanja</w:t>
      </w:r>
      <w:r w:rsidR="00464F98" w:rsidRPr="00992E71">
        <w:rPr>
          <w:rFonts w:ascii="Open Sans" w:hAnsi="Open Sans" w:cs="Open Sans"/>
          <w:sz w:val="20"/>
          <w:szCs w:val="20"/>
        </w:rPr>
        <w:t xml:space="preserve">. </w:t>
      </w:r>
      <w:r w:rsidR="0056577C">
        <w:rPr>
          <w:rFonts w:ascii="Open Sans" w:hAnsi="Open Sans" w:cs="Open Sans"/>
          <w:sz w:val="20"/>
          <w:szCs w:val="20"/>
        </w:rPr>
        <w:t xml:space="preserve"> </w:t>
      </w:r>
      <w:r w:rsidR="002F4BA6" w:rsidRPr="00992E71">
        <w:rPr>
          <w:rFonts w:ascii="Open Sans" w:hAnsi="Open Sans" w:cs="Open Sans"/>
          <w:sz w:val="20"/>
          <w:szCs w:val="20"/>
        </w:rPr>
        <w:t>Kreditno tveganje</w:t>
      </w:r>
      <w:r w:rsidR="00247113">
        <w:rPr>
          <w:rFonts w:ascii="Open Sans" w:hAnsi="Open Sans" w:cs="Open Sans"/>
          <w:sz w:val="20"/>
          <w:szCs w:val="20"/>
        </w:rPr>
        <w:t>,</w:t>
      </w:r>
      <w:r w:rsidR="002F4BA6" w:rsidRPr="00992E71">
        <w:rPr>
          <w:rFonts w:ascii="Open Sans" w:hAnsi="Open Sans" w:cs="Open Sans"/>
          <w:sz w:val="20"/>
          <w:szCs w:val="20"/>
        </w:rPr>
        <w:t xml:space="preserve"> povezano s finančnimi naložbami</w:t>
      </w:r>
      <w:r w:rsidR="00247113">
        <w:rPr>
          <w:rFonts w:ascii="Open Sans" w:hAnsi="Open Sans" w:cs="Open Sans"/>
          <w:sz w:val="20"/>
          <w:szCs w:val="20"/>
        </w:rPr>
        <w:t>,</w:t>
      </w:r>
      <w:r w:rsidR="002F4BA6" w:rsidRPr="00992E71">
        <w:rPr>
          <w:rFonts w:ascii="Open Sans" w:hAnsi="Open Sans" w:cs="Open Sans"/>
          <w:sz w:val="20"/>
          <w:szCs w:val="20"/>
        </w:rPr>
        <w:t xml:space="preserve"> družba obvladuje s politiko nalaganja sredstev </w:t>
      </w:r>
      <w:r w:rsidR="008076B2" w:rsidRPr="00992E71">
        <w:rPr>
          <w:rFonts w:ascii="Open Sans" w:hAnsi="Open Sans" w:cs="Open Sans"/>
          <w:sz w:val="20"/>
          <w:szCs w:val="20"/>
        </w:rPr>
        <w:t>v prvovrstne finančne instrumente</w:t>
      </w:r>
      <w:r w:rsidR="00307E92" w:rsidRPr="00992E71">
        <w:rPr>
          <w:rFonts w:ascii="Open Sans" w:hAnsi="Open Sans" w:cs="Open Sans"/>
          <w:sz w:val="20"/>
          <w:szCs w:val="20"/>
        </w:rPr>
        <w:t>.</w:t>
      </w:r>
    </w:p>
    <w:p w14:paraId="1DE2C05E" w14:textId="06CAC26C" w:rsidR="00397667" w:rsidRPr="00992E71" w:rsidRDefault="00307E92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Likvidnostno tveganje je tveganje, da družba </w:t>
      </w:r>
      <w:r w:rsidR="00871796" w:rsidRPr="00992E71">
        <w:rPr>
          <w:rFonts w:ascii="Open Sans" w:hAnsi="Open Sans" w:cs="Open Sans"/>
          <w:sz w:val="20"/>
          <w:szCs w:val="20"/>
        </w:rPr>
        <w:t>zaradi neusklajenosti med</w:t>
      </w:r>
      <w:r w:rsidR="00656928" w:rsidRPr="00992E71">
        <w:rPr>
          <w:rFonts w:ascii="Open Sans" w:hAnsi="Open Sans" w:cs="Open Sans"/>
          <w:sz w:val="20"/>
          <w:szCs w:val="20"/>
        </w:rPr>
        <w:t xml:space="preserve"> dospelimi sredstvi in</w:t>
      </w:r>
      <w:r w:rsidR="00871796" w:rsidRPr="00992E71">
        <w:rPr>
          <w:rFonts w:ascii="Open Sans" w:hAnsi="Open Sans" w:cs="Open Sans"/>
          <w:sz w:val="20"/>
          <w:szCs w:val="20"/>
        </w:rPr>
        <w:t xml:space="preserve"> obveznostmi ne bo imela zadosti likvidnih sredstev za poplačilo zapadlih obveznosti.</w:t>
      </w:r>
      <w:r w:rsidR="00656928" w:rsidRPr="00992E71">
        <w:rPr>
          <w:rFonts w:ascii="Open Sans" w:hAnsi="Open Sans" w:cs="Open Sans"/>
          <w:sz w:val="20"/>
          <w:szCs w:val="20"/>
        </w:rPr>
        <w:t xml:space="preserve"> </w:t>
      </w:r>
      <w:r w:rsidR="00B663BE" w:rsidRPr="00992E71">
        <w:rPr>
          <w:rFonts w:ascii="Open Sans" w:hAnsi="Open Sans" w:cs="Open Sans"/>
          <w:sz w:val="20"/>
          <w:szCs w:val="20"/>
        </w:rPr>
        <w:t xml:space="preserve">Likvidnostno tveganje družba obvladuje z </w:t>
      </w:r>
      <w:r w:rsidR="00397667" w:rsidRPr="00992E71">
        <w:rPr>
          <w:rFonts w:ascii="Open Sans" w:hAnsi="Open Sans" w:cs="Open Sans"/>
          <w:sz w:val="20"/>
          <w:szCs w:val="20"/>
        </w:rPr>
        <w:t xml:space="preserve">rednim načrtovanjem </w:t>
      </w:r>
      <w:r w:rsidR="00ED69DB" w:rsidRPr="00992E71">
        <w:rPr>
          <w:rFonts w:ascii="Open Sans" w:hAnsi="Open Sans" w:cs="Open Sans"/>
          <w:sz w:val="20"/>
          <w:szCs w:val="20"/>
        </w:rPr>
        <w:t>in usklajevanjem denarnih tokov</w:t>
      </w:r>
      <w:r w:rsidR="00397667" w:rsidRPr="00992E71">
        <w:rPr>
          <w:rFonts w:ascii="Open Sans" w:hAnsi="Open Sans" w:cs="Open Sans"/>
          <w:sz w:val="20"/>
          <w:szCs w:val="20"/>
        </w:rPr>
        <w:t xml:space="preserve">. </w:t>
      </w:r>
      <w:r w:rsidR="00A352CF" w:rsidRPr="00992E71">
        <w:rPr>
          <w:rFonts w:ascii="Open Sans" w:hAnsi="Open Sans" w:cs="Open Sans"/>
          <w:sz w:val="20"/>
          <w:szCs w:val="20"/>
        </w:rPr>
        <w:t>Poleg tega ima družba z bankami sklenjene po</w:t>
      </w:r>
      <w:r w:rsidR="00972EBF" w:rsidRPr="00992E71">
        <w:rPr>
          <w:rFonts w:ascii="Open Sans" w:hAnsi="Open Sans" w:cs="Open Sans"/>
          <w:sz w:val="20"/>
          <w:szCs w:val="20"/>
        </w:rPr>
        <w:t xml:space="preserve">godbe, na podlagi katerih lahko v zelo kratkem času </w:t>
      </w:r>
      <w:r w:rsidR="00A352CF" w:rsidRPr="00992E71">
        <w:rPr>
          <w:rFonts w:ascii="Open Sans" w:hAnsi="Open Sans" w:cs="Open Sans"/>
          <w:sz w:val="20"/>
          <w:szCs w:val="20"/>
        </w:rPr>
        <w:t xml:space="preserve">črpa kratkoročna sredstva v primeru povečanih potreb.  </w:t>
      </w:r>
    </w:p>
    <w:p w14:paraId="1EFAA81F" w14:textId="77777777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Ker tekoči prilivi zadoščajo za redno pokrivanje tekočih poslovnih obveznosti, tudi tveganje plačilne sposob</w:t>
      </w:r>
      <w:r w:rsidR="00844879" w:rsidRPr="00992E71">
        <w:rPr>
          <w:rFonts w:ascii="Open Sans" w:hAnsi="Open Sans" w:cs="Open Sans"/>
          <w:sz w:val="20"/>
          <w:szCs w:val="20"/>
        </w:rPr>
        <w:t xml:space="preserve">nosti za družbo ni visoko. </w:t>
      </w:r>
    </w:p>
    <w:p w14:paraId="11107C2A" w14:textId="16AE3F8C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tržna tveganja</w:t>
      </w:r>
      <w:r w:rsidR="00190A49" w:rsidRPr="00992E71">
        <w:rPr>
          <w:rFonts w:ascii="Open Sans" w:hAnsi="Open Sans" w:cs="Open Sans"/>
          <w:sz w:val="20"/>
          <w:szCs w:val="20"/>
        </w:rPr>
        <w:t xml:space="preserve"> uvrščamo obrestno tveganje, valutn</w:t>
      </w:r>
      <w:r w:rsidR="003C6C4E" w:rsidRPr="00992E71">
        <w:rPr>
          <w:rFonts w:ascii="Open Sans" w:hAnsi="Open Sans" w:cs="Open Sans"/>
          <w:sz w:val="20"/>
          <w:szCs w:val="20"/>
        </w:rPr>
        <w:t xml:space="preserve">o tveganje in tveganje </w:t>
      </w:r>
      <w:r w:rsidR="00BC72E9" w:rsidRPr="00992E71">
        <w:rPr>
          <w:rFonts w:ascii="Open Sans" w:hAnsi="Open Sans" w:cs="Open Sans"/>
          <w:sz w:val="20"/>
          <w:szCs w:val="20"/>
        </w:rPr>
        <w:t>iz naslova trgovanja z vrednostnimi papirji</w:t>
      </w:r>
      <w:r w:rsidR="003C6C4E" w:rsidRPr="00992E71">
        <w:rPr>
          <w:rFonts w:ascii="Open Sans" w:hAnsi="Open Sans" w:cs="Open Sans"/>
          <w:sz w:val="20"/>
          <w:szCs w:val="20"/>
        </w:rPr>
        <w:t>.</w:t>
      </w:r>
      <w:r w:rsidR="00BC72E9" w:rsidRPr="00992E71">
        <w:rPr>
          <w:rFonts w:ascii="Open Sans" w:hAnsi="Open Sans" w:cs="Open Sans"/>
          <w:sz w:val="20"/>
          <w:szCs w:val="20"/>
        </w:rPr>
        <w:t xml:space="preserve"> Izpostavljenost obrestnemu tveganju za družbo je zelo nizka, saj družba svojega poslovanja ne financira z dolgovi</w:t>
      </w:r>
      <w:r w:rsidR="00890C15" w:rsidRPr="00992E71">
        <w:rPr>
          <w:rFonts w:ascii="Open Sans" w:hAnsi="Open Sans" w:cs="Open Sans"/>
          <w:sz w:val="20"/>
          <w:szCs w:val="20"/>
        </w:rPr>
        <w:t xml:space="preserve">, prav tako </w:t>
      </w:r>
      <w:r w:rsidR="00293AB0">
        <w:rPr>
          <w:rFonts w:ascii="Open Sans" w:hAnsi="Open Sans" w:cs="Open Sans"/>
          <w:sz w:val="20"/>
          <w:szCs w:val="20"/>
        </w:rPr>
        <w:t>pa nima</w:t>
      </w:r>
      <w:r w:rsidR="00890C15" w:rsidRPr="003F766A">
        <w:rPr>
          <w:rFonts w:ascii="Open Sans" w:hAnsi="Open Sans" w:cs="Open Sans"/>
          <w:sz w:val="20"/>
          <w:szCs w:val="20"/>
        </w:rPr>
        <w:t xml:space="preserve"> </w:t>
      </w:r>
      <w:r w:rsidR="00890C15" w:rsidRPr="00992E71">
        <w:rPr>
          <w:rFonts w:ascii="Open Sans" w:hAnsi="Open Sans" w:cs="Open Sans"/>
          <w:sz w:val="20"/>
          <w:szCs w:val="20"/>
        </w:rPr>
        <w:t>danih posojil</w:t>
      </w:r>
      <w:r w:rsidR="00BC72E9" w:rsidRPr="00992E71">
        <w:rPr>
          <w:rFonts w:ascii="Open Sans" w:hAnsi="Open Sans" w:cs="Open Sans"/>
          <w:sz w:val="20"/>
          <w:szCs w:val="20"/>
        </w:rPr>
        <w:t xml:space="preserve">. </w:t>
      </w:r>
      <w:r w:rsidR="00890C15" w:rsidRPr="00992E71">
        <w:rPr>
          <w:rFonts w:ascii="Open Sans" w:hAnsi="Open Sans" w:cs="Open Sans"/>
          <w:sz w:val="20"/>
          <w:szCs w:val="20"/>
        </w:rPr>
        <w:t xml:space="preserve">Družba </w:t>
      </w:r>
      <w:r w:rsidR="00BC72E9" w:rsidRPr="00992E71">
        <w:rPr>
          <w:rFonts w:ascii="Open Sans" w:hAnsi="Open Sans" w:cs="Open Sans"/>
          <w:sz w:val="20"/>
          <w:szCs w:val="20"/>
        </w:rPr>
        <w:t xml:space="preserve">posluje </w:t>
      </w:r>
      <w:r w:rsidR="00890C15" w:rsidRPr="00992E71">
        <w:rPr>
          <w:rFonts w:ascii="Open Sans" w:hAnsi="Open Sans" w:cs="Open Sans"/>
          <w:sz w:val="20"/>
          <w:szCs w:val="20"/>
        </w:rPr>
        <w:t xml:space="preserve">večinoma </w:t>
      </w:r>
      <w:r w:rsidR="00BC72E9" w:rsidRPr="00992E71">
        <w:rPr>
          <w:rFonts w:ascii="Open Sans" w:hAnsi="Open Sans" w:cs="Open Sans"/>
          <w:sz w:val="20"/>
          <w:szCs w:val="20"/>
        </w:rPr>
        <w:t>v domači valuti</w:t>
      </w:r>
      <w:r w:rsidR="00890C15" w:rsidRPr="00992E71">
        <w:rPr>
          <w:rFonts w:ascii="Open Sans" w:hAnsi="Open Sans" w:cs="Open Sans"/>
          <w:sz w:val="20"/>
          <w:szCs w:val="20"/>
        </w:rPr>
        <w:t>, zato valutno tveganje ocenjujemo kot nizko</w:t>
      </w:r>
      <w:r w:rsidR="00BC72E9" w:rsidRPr="00992E71">
        <w:rPr>
          <w:rFonts w:ascii="Open Sans" w:hAnsi="Open Sans" w:cs="Open Sans"/>
          <w:sz w:val="20"/>
          <w:szCs w:val="20"/>
        </w:rPr>
        <w:t>.</w:t>
      </w:r>
      <w:r w:rsidR="003C6C4E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F732DE3" w14:textId="53241059" w:rsidR="00ED276F" w:rsidRDefault="007859DE" w:rsidP="00BB0B9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V preostalih</w:t>
      </w:r>
      <w:r w:rsidR="004B2943">
        <w:rPr>
          <w:rFonts w:ascii="Open Sans" w:hAnsi="Open Sans" w:cs="Open Sans"/>
          <w:sz w:val="20"/>
          <w:szCs w:val="20"/>
        </w:rPr>
        <w:t xml:space="preserve"> šestih</w:t>
      </w:r>
      <w:r w:rsidR="008C4751">
        <w:rPr>
          <w:rFonts w:ascii="Open Sans" w:hAnsi="Open Sans" w:cs="Open Sans"/>
          <w:sz w:val="20"/>
          <w:szCs w:val="20"/>
        </w:rPr>
        <w:t xml:space="preserve"> mesecih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CE3F86" w:rsidRPr="00992E71">
        <w:rPr>
          <w:rFonts w:ascii="Open Sans" w:hAnsi="Open Sans" w:cs="Open Sans"/>
          <w:sz w:val="20"/>
          <w:szCs w:val="20"/>
        </w:rPr>
        <w:t xml:space="preserve"> </w:t>
      </w:r>
      <w:r w:rsidR="00B424AA">
        <w:rPr>
          <w:rFonts w:ascii="Open Sans" w:hAnsi="Open Sans" w:cs="Open Sans"/>
          <w:sz w:val="20"/>
          <w:szCs w:val="20"/>
        </w:rPr>
        <w:t>bomo še naprej redno spremljali tveganja, povezana z epidemijo Covid-19 in izvajali vse potrebne ukrepe za zamejevanje okužb in varovanja zaposlenih in strank. D</w:t>
      </w:r>
      <w:r w:rsidR="00CE3F86" w:rsidRPr="00992E71">
        <w:rPr>
          <w:rFonts w:ascii="Open Sans" w:hAnsi="Open Sans" w:cs="Open Sans"/>
          <w:sz w:val="20"/>
          <w:szCs w:val="20"/>
        </w:rPr>
        <w:t xml:space="preserve">ružba ne pričakuje </w:t>
      </w:r>
      <w:r w:rsidR="00B424AA">
        <w:rPr>
          <w:rFonts w:ascii="Open Sans" w:hAnsi="Open Sans" w:cs="Open Sans"/>
          <w:sz w:val="20"/>
          <w:szCs w:val="20"/>
        </w:rPr>
        <w:t xml:space="preserve">drugih </w:t>
      </w:r>
      <w:r w:rsidR="00CE3F86" w:rsidRPr="00992E71">
        <w:rPr>
          <w:rFonts w:ascii="Open Sans" w:hAnsi="Open Sans" w:cs="Open Sans"/>
          <w:sz w:val="20"/>
          <w:szCs w:val="20"/>
        </w:rPr>
        <w:t>pomembnih sprememb v tveganjih, ki jim je izpostavljena.</w:t>
      </w:r>
    </w:p>
    <w:p w14:paraId="00FEEE3C" w14:textId="77777777" w:rsidR="001C13F7" w:rsidRPr="00992E71" w:rsidRDefault="001C13F7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45F47181" w14:textId="01B2CE66" w:rsidR="00682356" w:rsidRPr="00CD1E00" w:rsidRDefault="00682356" w:rsidP="00682356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CD1E00">
        <w:rPr>
          <w:rFonts w:ascii="Open Sans" w:hAnsi="Open Sans" w:cs="Open Sans"/>
          <w:b/>
          <w:sz w:val="20"/>
          <w:szCs w:val="20"/>
        </w:rPr>
        <w:t>Posli s povezanimi osebami</w:t>
      </w:r>
    </w:p>
    <w:p w14:paraId="4FCB18F4" w14:textId="7DA50371" w:rsidR="0010140C" w:rsidRPr="0010140C" w:rsidRDefault="0010140C" w:rsidP="0010140C">
      <w:pPr>
        <w:jc w:val="both"/>
        <w:rPr>
          <w:rFonts w:ascii="Open Sans" w:hAnsi="Open Sans" w:cs="Open Sans"/>
          <w:sz w:val="20"/>
          <w:szCs w:val="20"/>
        </w:rPr>
      </w:pPr>
      <w:r w:rsidRPr="0010140C">
        <w:rPr>
          <w:rFonts w:ascii="Open Sans" w:hAnsi="Open Sans" w:cs="Open Sans"/>
          <w:sz w:val="20"/>
          <w:szCs w:val="20"/>
        </w:rPr>
        <w:t>Kot povezane osebe družbe Nama d.d. Ljubljana na 3</w:t>
      </w:r>
      <w:r>
        <w:rPr>
          <w:rFonts w:ascii="Open Sans" w:hAnsi="Open Sans" w:cs="Open Sans"/>
          <w:sz w:val="20"/>
          <w:szCs w:val="20"/>
        </w:rPr>
        <w:t>0</w:t>
      </w:r>
      <w:r w:rsidRPr="0010140C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>6</w:t>
      </w:r>
      <w:r w:rsidRPr="0010140C">
        <w:rPr>
          <w:rFonts w:ascii="Open Sans" w:hAnsi="Open Sans" w:cs="Open Sans"/>
          <w:sz w:val="20"/>
          <w:szCs w:val="20"/>
        </w:rPr>
        <w:t>.202</w:t>
      </w:r>
      <w:r>
        <w:rPr>
          <w:rFonts w:ascii="Open Sans" w:hAnsi="Open Sans" w:cs="Open Sans"/>
          <w:sz w:val="20"/>
          <w:szCs w:val="20"/>
        </w:rPr>
        <w:t>2</w:t>
      </w:r>
      <w:r w:rsidRPr="0010140C">
        <w:rPr>
          <w:rFonts w:ascii="Open Sans" w:hAnsi="Open Sans" w:cs="Open Sans"/>
          <w:sz w:val="20"/>
          <w:szCs w:val="20"/>
        </w:rPr>
        <w:t xml:space="preserve"> smo opredelili družbe v Skupini Nama,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0140C">
        <w:rPr>
          <w:rFonts w:ascii="Open Sans" w:hAnsi="Open Sans" w:cs="Open Sans"/>
          <w:sz w:val="20"/>
          <w:szCs w:val="20"/>
        </w:rPr>
        <w:t>družbe v Skupini Triglav in družbe v Skupini Generali.</w:t>
      </w:r>
    </w:p>
    <w:p w14:paraId="3BAE8A24" w14:textId="0B198D19" w:rsidR="0010140C" w:rsidRDefault="0010140C" w:rsidP="0010140C">
      <w:pPr>
        <w:jc w:val="both"/>
        <w:rPr>
          <w:rFonts w:ascii="Open Sans" w:hAnsi="Open Sans" w:cs="Open Sans"/>
          <w:sz w:val="20"/>
          <w:szCs w:val="20"/>
        </w:rPr>
      </w:pPr>
      <w:r w:rsidRPr="0010140C">
        <w:rPr>
          <w:rFonts w:ascii="Open Sans" w:hAnsi="Open Sans" w:cs="Open Sans"/>
          <w:sz w:val="20"/>
          <w:szCs w:val="20"/>
        </w:rPr>
        <w:t>Povezane osebe družbe so tudi člani organov vodenja in nadzora in z njimi povezane osebe.</w:t>
      </w:r>
    </w:p>
    <w:p w14:paraId="30AED07D" w14:textId="232CBC30" w:rsidR="00A82E81" w:rsidRDefault="0010140C" w:rsidP="0010140C">
      <w:pPr>
        <w:jc w:val="both"/>
        <w:rPr>
          <w:rFonts w:ascii="Open Sans" w:hAnsi="Open Sans" w:cs="Open Sans"/>
          <w:sz w:val="20"/>
          <w:szCs w:val="20"/>
        </w:rPr>
      </w:pPr>
      <w:r w:rsidRPr="0010140C">
        <w:rPr>
          <w:rFonts w:ascii="Open Sans" w:hAnsi="Open Sans" w:cs="Open Sans"/>
          <w:sz w:val="20"/>
          <w:szCs w:val="20"/>
        </w:rPr>
        <w:t xml:space="preserve">Prihodki in stroški, ustvarjeni v </w:t>
      </w:r>
      <w:r>
        <w:rPr>
          <w:rFonts w:ascii="Open Sans" w:hAnsi="Open Sans" w:cs="Open Sans"/>
          <w:sz w:val="20"/>
          <w:szCs w:val="20"/>
        </w:rPr>
        <w:t>obdobju 1.1.2022 do 30.6.2022</w:t>
      </w:r>
      <w:r w:rsidRPr="0010140C">
        <w:rPr>
          <w:rFonts w:ascii="Open Sans" w:hAnsi="Open Sans" w:cs="Open Sans"/>
          <w:sz w:val="20"/>
          <w:szCs w:val="20"/>
        </w:rPr>
        <w:t xml:space="preserve"> s povezanimi družbami v Skupinah Triglav in Generali, so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0140C">
        <w:rPr>
          <w:rFonts w:ascii="Open Sans" w:hAnsi="Open Sans" w:cs="Open Sans"/>
          <w:sz w:val="20"/>
          <w:szCs w:val="20"/>
        </w:rPr>
        <w:t>nepomembni z vidika računovodskih izkazov družbe Nama d.d. Ljubljana.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6A2FD2" w:rsidRPr="00992E71">
        <w:rPr>
          <w:rFonts w:ascii="Open Sans" w:hAnsi="Open Sans" w:cs="Open Sans"/>
          <w:sz w:val="20"/>
          <w:szCs w:val="20"/>
        </w:rPr>
        <w:t>Posli</w:t>
      </w:r>
      <w:r w:rsidR="00DB543F">
        <w:rPr>
          <w:rFonts w:ascii="Open Sans" w:hAnsi="Open Sans" w:cs="Open Sans"/>
          <w:sz w:val="20"/>
          <w:szCs w:val="20"/>
        </w:rPr>
        <w:t xml:space="preserve"> oziroma transakcije </w:t>
      </w:r>
      <w:r w:rsidR="006A2FD2" w:rsidRPr="00992E71">
        <w:rPr>
          <w:rFonts w:ascii="Open Sans" w:hAnsi="Open Sans" w:cs="Open Sans"/>
          <w:sz w:val="20"/>
          <w:szCs w:val="20"/>
        </w:rPr>
        <w:t xml:space="preserve">se nanašajo na sklenjene zavarovalne </w:t>
      </w:r>
      <w:r>
        <w:rPr>
          <w:rFonts w:ascii="Open Sans" w:hAnsi="Open Sans" w:cs="Open Sans"/>
          <w:sz w:val="20"/>
          <w:szCs w:val="20"/>
        </w:rPr>
        <w:t>pogodbe.</w:t>
      </w:r>
    </w:p>
    <w:p w14:paraId="37919AC7" w14:textId="08C73402" w:rsidR="0074041B" w:rsidRDefault="0074041B" w:rsidP="00DB543F">
      <w:pPr>
        <w:jc w:val="both"/>
        <w:rPr>
          <w:rFonts w:ascii="Open Sans" w:hAnsi="Open Sans" w:cs="Open Sans"/>
          <w:sz w:val="20"/>
          <w:szCs w:val="20"/>
        </w:rPr>
      </w:pPr>
      <w:r w:rsidRPr="00202F04">
        <w:rPr>
          <w:rFonts w:ascii="Open Sans" w:hAnsi="Open Sans" w:cs="Open Sans"/>
          <w:sz w:val="20"/>
          <w:szCs w:val="20"/>
        </w:rPr>
        <w:t xml:space="preserve">Posli oziroma transakcije z </w:t>
      </w:r>
      <w:r w:rsidR="004454E3" w:rsidRPr="00CD1E00">
        <w:rPr>
          <w:rFonts w:ascii="Open Sans" w:hAnsi="Open Sans" w:cs="Open Sans"/>
          <w:sz w:val="20"/>
          <w:szCs w:val="20"/>
        </w:rPr>
        <w:t>družbami v Skupini Nama</w:t>
      </w:r>
      <w:r w:rsidRPr="00202F04">
        <w:rPr>
          <w:rFonts w:ascii="Open Sans" w:hAnsi="Open Sans" w:cs="Open Sans"/>
          <w:sz w:val="20"/>
          <w:szCs w:val="20"/>
        </w:rPr>
        <w:t xml:space="preserve"> se nanašajo na oddajanje nepremičnin v najem</w:t>
      </w:r>
      <w:r w:rsidR="006F485E" w:rsidRPr="00202F04">
        <w:rPr>
          <w:rFonts w:ascii="Open Sans" w:hAnsi="Open Sans" w:cs="Open Sans"/>
          <w:sz w:val="20"/>
          <w:szCs w:val="20"/>
        </w:rPr>
        <w:t xml:space="preserve">, zaračunavanje obratovalnih stroškov, ter </w:t>
      </w:r>
      <w:r w:rsidR="004454E3" w:rsidRPr="00202F04">
        <w:rPr>
          <w:rFonts w:ascii="Open Sans" w:hAnsi="Open Sans" w:cs="Open Sans"/>
          <w:sz w:val="20"/>
          <w:szCs w:val="20"/>
        </w:rPr>
        <w:t>prejemanje storite</w:t>
      </w:r>
      <w:r w:rsidR="004454E3" w:rsidRPr="00CD1E00">
        <w:rPr>
          <w:rFonts w:ascii="Open Sans" w:hAnsi="Open Sans" w:cs="Open Sans"/>
          <w:sz w:val="20"/>
          <w:szCs w:val="20"/>
        </w:rPr>
        <w:t>v</w:t>
      </w:r>
      <w:r w:rsidR="004454E3" w:rsidRPr="00202F04">
        <w:rPr>
          <w:rFonts w:ascii="Open Sans" w:hAnsi="Open Sans" w:cs="Open Sans"/>
          <w:sz w:val="20"/>
          <w:szCs w:val="20"/>
        </w:rPr>
        <w:t xml:space="preserve"> podpore poslovanju.</w:t>
      </w:r>
    </w:p>
    <w:p w14:paraId="4DB33D0D" w14:textId="0B7454F5" w:rsidR="00960F07" w:rsidRDefault="006536DE" w:rsidP="00DB543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do 30.6</w:t>
      </w:r>
      <w:r w:rsidR="00A82320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6A2FD2" w:rsidRPr="00992E71">
        <w:rPr>
          <w:rFonts w:ascii="Open Sans" w:hAnsi="Open Sans" w:cs="Open Sans"/>
          <w:sz w:val="20"/>
          <w:szCs w:val="20"/>
        </w:rPr>
        <w:t xml:space="preserve"> ni prišlo do sprememb v poslih s povezanimi osebami, ki bi pomembno vplivale na poslovanje družbe.</w:t>
      </w:r>
    </w:p>
    <w:p w14:paraId="7039F7BB" w14:textId="77777777" w:rsidR="002745A5" w:rsidRPr="00992E71" w:rsidRDefault="002745A5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7AE1C33B" w14:textId="0F5882A6" w:rsidR="00350163" w:rsidRPr="007228A0" w:rsidRDefault="00350163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7228A0">
        <w:rPr>
          <w:rFonts w:ascii="Open Sans" w:hAnsi="Open Sans" w:cs="Open Sans"/>
          <w:b/>
          <w:sz w:val="20"/>
          <w:szCs w:val="20"/>
        </w:rPr>
        <w:t>Pomembnejši poslovn</w:t>
      </w:r>
      <w:r w:rsidR="000F0B3A">
        <w:rPr>
          <w:rFonts w:ascii="Open Sans" w:hAnsi="Open Sans" w:cs="Open Sans"/>
          <w:b/>
          <w:sz w:val="20"/>
          <w:szCs w:val="20"/>
        </w:rPr>
        <w:t>i dogodki v obdobju 1.1. do 30.6</w:t>
      </w:r>
      <w:r w:rsidR="000E1AF9">
        <w:rPr>
          <w:rFonts w:ascii="Open Sans" w:hAnsi="Open Sans" w:cs="Open Sans"/>
          <w:b/>
          <w:sz w:val="20"/>
          <w:szCs w:val="20"/>
        </w:rPr>
        <w:t>.202</w:t>
      </w:r>
      <w:r w:rsidR="006469E3">
        <w:rPr>
          <w:rFonts w:ascii="Open Sans" w:hAnsi="Open Sans" w:cs="Open Sans"/>
          <w:b/>
          <w:sz w:val="20"/>
          <w:szCs w:val="20"/>
        </w:rPr>
        <w:t>2</w:t>
      </w:r>
    </w:p>
    <w:p w14:paraId="314589C7" w14:textId="6A0ABDA7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bookmarkStart w:id="1" w:name="_Hlk108517273"/>
      <w:r w:rsidRPr="00394C59">
        <w:rPr>
          <w:rFonts w:ascii="Open Sans" w:hAnsi="Open Sans" w:cs="Open Sans"/>
          <w:sz w:val="20"/>
          <w:szCs w:val="20"/>
        </w:rPr>
        <w:t xml:space="preserve">Poslovanje </w:t>
      </w:r>
      <w:r>
        <w:rPr>
          <w:rFonts w:ascii="Open Sans" w:hAnsi="Open Sans" w:cs="Open Sans"/>
          <w:sz w:val="20"/>
          <w:szCs w:val="20"/>
        </w:rPr>
        <w:t>družbe</w:t>
      </w:r>
      <w:r w:rsidRPr="00394C59">
        <w:rPr>
          <w:rFonts w:ascii="Open Sans" w:hAnsi="Open Sans" w:cs="Open Sans"/>
          <w:sz w:val="20"/>
          <w:szCs w:val="20"/>
        </w:rPr>
        <w:t xml:space="preserve"> v mesecu januarju </w:t>
      </w:r>
      <w:r>
        <w:rPr>
          <w:rFonts w:ascii="Open Sans" w:hAnsi="Open Sans" w:cs="Open Sans"/>
          <w:sz w:val="20"/>
          <w:szCs w:val="20"/>
        </w:rPr>
        <w:t>je zaznamovala</w:t>
      </w:r>
      <w:r w:rsidRPr="00394C59">
        <w:rPr>
          <w:rFonts w:ascii="Open Sans" w:hAnsi="Open Sans" w:cs="Open Sans"/>
          <w:sz w:val="20"/>
          <w:szCs w:val="20"/>
        </w:rPr>
        <w:t xml:space="preserve"> epidemija Covid-19</w:t>
      </w:r>
      <w:r>
        <w:rPr>
          <w:rFonts w:ascii="Open Sans" w:hAnsi="Open Sans" w:cs="Open Sans"/>
          <w:sz w:val="20"/>
          <w:szCs w:val="20"/>
        </w:rPr>
        <w:t>, ki je tedaj</w:t>
      </w:r>
      <w:r w:rsidRPr="00394C59">
        <w:rPr>
          <w:rFonts w:ascii="Open Sans" w:hAnsi="Open Sans" w:cs="Open Sans"/>
          <w:sz w:val="20"/>
          <w:szCs w:val="20"/>
        </w:rPr>
        <w:t xml:space="preserve"> dosegla vrhunec glede števila okuženih v Republiki Sloveniji. Posledično je bilo </w:t>
      </w:r>
      <w:r>
        <w:rPr>
          <w:rFonts w:ascii="Open Sans" w:hAnsi="Open Sans" w:cs="Open Sans"/>
          <w:sz w:val="20"/>
          <w:szCs w:val="20"/>
        </w:rPr>
        <w:t xml:space="preserve">oteženo zlasti poslovanje najemnikov lokalov, v katerih </w:t>
      </w:r>
      <w:r w:rsidR="00EC3BDE">
        <w:rPr>
          <w:rFonts w:ascii="Open Sans" w:hAnsi="Open Sans" w:cs="Open Sans"/>
          <w:sz w:val="20"/>
          <w:szCs w:val="20"/>
        </w:rPr>
        <w:t>se izvaja trgovinska ali gostinska dejavnost. V</w:t>
      </w:r>
      <w:r w:rsidRPr="00394C59">
        <w:rPr>
          <w:rFonts w:ascii="Open Sans" w:hAnsi="Open Sans" w:cs="Open Sans"/>
          <w:sz w:val="20"/>
          <w:szCs w:val="20"/>
        </w:rPr>
        <w:t xml:space="preserve"> mesecu februarju se je pričelo stanje postopoma izboljševati, razmere pa so se bistveno izboljšale po 15.2.2022, ko je bila ukinjena omejitev vstopa v zaprte prostore brez predložitve izpolnjevanja PCT pogoja.</w:t>
      </w:r>
    </w:p>
    <w:p w14:paraId="0BCC778B" w14:textId="47C964E4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r w:rsidRPr="00394C59">
        <w:rPr>
          <w:rFonts w:ascii="Open Sans" w:hAnsi="Open Sans" w:cs="Open Sans"/>
          <w:sz w:val="20"/>
          <w:szCs w:val="20"/>
        </w:rPr>
        <w:t xml:space="preserve">Konec februarja in začetek marca 2022 je zaznamoval vpliv pričetka rusko-ukrajinske vojne. Splošna zaskrbljenost prebivalstva v kombinaciji z napovedanimi podražitvami energentov in drugih pomembnih življenjskih potrebščin je močno vplivala na nakupe nenujnih izdelkov. </w:t>
      </w:r>
      <w:r w:rsidR="00EC3BDE">
        <w:rPr>
          <w:rFonts w:ascii="Open Sans" w:hAnsi="Open Sans" w:cs="Open Sans"/>
          <w:sz w:val="20"/>
          <w:szCs w:val="20"/>
        </w:rPr>
        <w:t>Posledično so bili tako ponovno prizadeti zlasti najemniki trgovinskih prostorov.</w:t>
      </w:r>
    </w:p>
    <w:p w14:paraId="7335C073" w14:textId="77777777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r w:rsidRPr="00394C59">
        <w:rPr>
          <w:rFonts w:ascii="Open Sans" w:hAnsi="Open Sans" w:cs="Open Sans"/>
          <w:sz w:val="20"/>
          <w:szCs w:val="20"/>
        </w:rPr>
        <w:t>V mesecu maju je matična družba uspela odkupiti preostala lastniška deleža preostalih dveh lastnikov na nepremičnini na Slovenčevi in tako postala edina lastnica omenjene nepremičnine, s čimer je izpolnjen pogoj za pričetek vseh potrebnih postopkov za spremembo namembnosti omenjenega območja.</w:t>
      </w:r>
    </w:p>
    <w:p w14:paraId="55E39DEE" w14:textId="1D61CE52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r w:rsidRPr="00394C59">
        <w:rPr>
          <w:rFonts w:ascii="Open Sans" w:hAnsi="Open Sans" w:cs="Open Sans"/>
          <w:sz w:val="20"/>
          <w:szCs w:val="20"/>
        </w:rPr>
        <w:t>Dne 17.5.2022 je bila izvedena 31. redna skupščina delničarjev družbe. Na skupščini so bili prisotni delničarji, ki so predstavljali 99,55% delnic z glasovalnimi pravicami. Vsi sklepi so bili podprti soglasno. Zoper n</w:t>
      </w:r>
      <w:r w:rsidR="00EC3BDE">
        <w:rPr>
          <w:rFonts w:ascii="Open Sans" w:hAnsi="Open Sans" w:cs="Open Sans"/>
          <w:sz w:val="20"/>
          <w:szCs w:val="20"/>
        </w:rPr>
        <w:t>o</w:t>
      </w:r>
      <w:r w:rsidRPr="00394C59">
        <w:rPr>
          <w:rFonts w:ascii="Open Sans" w:hAnsi="Open Sans" w:cs="Open Sans"/>
          <w:sz w:val="20"/>
          <w:szCs w:val="20"/>
        </w:rPr>
        <w:t>ben sklep ni bila napovedana izpodbojna tožba.</w:t>
      </w:r>
    </w:p>
    <w:p w14:paraId="4DEC8943" w14:textId="77777777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r w:rsidRPr="00394C59">
        <w:rPr>
          <w:rFonts w:ascii="Open Sans" w:hAnsi="Open Sans" w:cs="Open Sans"/>
          <w:sz w:val="20"/>
          <w:szCs w:val="20"/>
        </w:rPr>
        <w:t>Na seji nadzornega sveta dne 9.6.2022 je nadzorni svet podelil nov petletni mandat predsednici uprave Simoni Kozjek, ki prične teči z dnem 3.2.2023.</w:t>
      </w:r>
    </w:p>
    <w:p w14:paraId="622CB7F2" w14:textId="1A5C0D64" w:rsidR="00394C59" w:rsidRPr="00394C59" w:rsidRDefault="00394C59" w:rsidP="00394C59">
      <w:pPr>
        <w:jc w:val="both"/>
        <w:rPr>
          <w:rFonts w:ascii="Open Sans" w:hAnsi="Open Sans" w:cs="Open Sans"/>
          <w:sz w:val="20"/>
          <w:szCs w:val="20"/>
        </w:rPr>
      </w:pPr>
      <w:r w:rsidRPr="00394C59">
        <w:rPr>
          <w:rFonts w:ascii="Open Sans" w:hAnsi="Open Sans" w:cs="Open Sans"/>
          <w:sz w:val="20"/>
          <w:szCs w:val="20"/>
        </w:rPr>
        <w:t>V mes</w:t>
      </w:r>
      <w:r w:rsidR="00EC3BDE">
        <w:rPr>
          <w:rFonts w:ascii="Open Sans" w:hAnsi="Open Sans" w:cs="Open Sans"/>
          <w:sz w:val="20"/>
          <w:szCs w:val="20"/>
        </w:rPr>
        <w:t>ec</w:t>
      </w:r>
      <w:r w:rsidRPr="00394C59">
        <w:rPr>
          <w:rFonts w:ascii="Open Sans" w:hAnsi="Open Sans" w:cs="Open Sans"/>
          <w:sz w:val="20"/>
          <w:szCs w:val="20"/>
        </w:rPr>
        <w:t>u juniju je družba podpisala pogodbo za najem kletne etaže v veleblagovnici Ljubljana.</w:t>
      </w:r>
    </w:p>
    <w:bookmarkEnd w:id="1"/>
    <w:p w14:paraId="2E9C0E51" w14:textId="063C4D51" w:rsidR="004339FD" w:rsidRDefault="004339FD">
      <w:pPr>
        <w:rPr>
          <w:rFonts w:ascii="Open Sans" w:hAnsi="Open Sans" w:cs="Open Sans"/>
          <w:sz w:val="20"/>
          <w:szCs w:val="20"/>
        </w:rPr>
      </w:pPr>
    </w:p>
    <w:p w14:paraId="01990864" w14:textId="77777777" w:rsidR="00430822" w:rsidRDefault="00430822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br w:type="page"/>
      </w:r>
    </w:p>
    <w:p w14:paraId="39F468B9" w14:textId="4DCB0C05" w:rsidR="00CE5D66" w:rsidRPr="00992E71" w:rsidRDefault="00CE5D66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 xml:space="preserve">Pomembnejši poslovni dogodki </w:t>
      </w:r>
      <w:r w:rsidR="00507F88" w:rsidRPr="00992E71">
        <w:rPr>
          <w:rFonts w:ascii="Open Sans" w:hAnsi="Open Sans" w:cs="Open Sans"/>
          <w:b/>
          <w:sz w:val="20"/>
          <w:szCs w:val="20"/>
        </w:rPr>
        <w:t>po presečnem datumu</w:t>
      </w:r>
    </w:p>
    <w:p w14:paraId="02619CB1" w14:textId="587A7996" w:rsidR="00E81EC3" w:rsidRDefault="00E81EC3" w:rsidP="00E81EC3">
      <w:pPr>
        <w:jc w:val="both"/>
        <w:rPr>
          <w:rFonts w:ascii="Open Sans" w:hAnsi="Open Sans" w:cs="Open Sans"/>
          <w:sz w:val="20"/>
          <w:szCs w:val="20"/>
        </w:rPr>
      </w:pPr>
      <w:r w:rsidRPr="00E81EC3">
        <w:rPr>
          <w:rFonts w:ascii="Open Sans" w:hAnsi="Open Sans" w:cs="Open Sans"/>
          <w:sz w:val="20"/>
          <w:szCs w:val="20"/>
        </w:rPr>
        <w:t xml:space="preserve">V času po presečnem datumu in do datuma objave tega poročila ni prišlo do </w:t>
      </w:r>
      <w:r w:rsidR="004339FD">
        <w:rPr>
          <w:rFonts w:ascii="Open Sans" w:hAnsi="Open Sans" w:cs="Open Sans"/>
          <w:sz w:val="20"/>
          <w:szCs w:val="20"/>
        </w:rPr>
        <w:t xml:space="preserve">drugih </w:t>
      </w:r>
      <w:r w:rsidRPr="00E81EC3">
        <w:rPr>
          <w:rFonts w:ascii="Open Sans" w:hAnsi="Open Sans" w:cs="Open Sans"/>
          <w:sz w:val="20"/>
          <w:szCs w:val="20"/>
        </w:rPr>
        <w:t>poslovnih dogodkov, ki bi pomembno vplivali na poslovanje družbe.</w:t>
      </w:r>
    </w:p>
    <w:p w14:paraId="6D975B89" w14:textId="629F941F" w:rsidR="00EC3BDE" w:rsidRDefault="00EC3BDE" w:rsidP="00E81EC3">
      <w:pPr>
        <w:jc w:val="both"/>
        <w:rPr>
          <w:rFonts w:ascii="Open Sans" w:hAnsi="Open Sans" w:cs="Open Sans"/>
          <w:sz w:val="20"/>
          <w:szCs w:val="20"/>
        </w:rPr>
      </w:pPr>
    </w:p>
    <w:p w14:paraId="1F02651F" w14:textId="0279B8AA" w:rsidR="00EC3BDE" w:rsidRPr="00E81EC3" w:rsidRDefault="00EC3BDE" w:rsidP="00E81EC3">
      <w:pPr>
        <w:jc w:val="both"/>
        <w:rPr>
          <w:rFonts w:ascii="Open Sans" w:hAnsi="Open Sans" w:cs="Open Sans"/>
          <w:sz w:val="20"/>
          <w:szCs w:val="20"/>
        </w:rPr>
      </w:pPr>
    </w:p>
    <w:p w14:paraId="170030DA" w14:textId="564A6C1F" w:rsidR="002913A7" w:rsidRPr="00377311" w:rsidRDefault="001266D0" w:rsidP="00377311">
      <w:pPr>
        <w:pStyle w:val="Odstavekseznama"/>
        <w:numPr>
          <w:ilvl w:val="0"/>
          <w:numId w:val="12"/>
        </w:numPr>
        <w:rPr>
          <w:rFonts w:ascii="Open Sans" w:hAnsi="Open Sans" w:cs="Open Sans"/>
          <w:b/>
          <w:sz w:val="24"/>
          <w:szCs w:val="24"/>
        </w:rPr>
      </w:pPr>
      <w:r w:rsidRPr="00377311">
        <w:rPr>
          <w:rFonts w:ascii="Open Sans" w:hAnsi="Open Sans" w:cs="Open Sans"/>
          <w:b/>
          <w:sz w:val="24"/>
          <w:szCs w:val="24"/>
        </w:rPr>
        <w:br w:type="page"/>
      </w:r>
      <w:r w:rsidR="006B696E" w:rsidRPr="00CD1E00">
        <w:rPr>
          <w:rFonts w:ascii="Open Sans" w:hAnsi="Open Sans" w:cs="Open Sans"/>
          <w:b/>
          <w:sz w:val="24"/>
          <w:szCs w:val="24"/>
        </w:rPr>
        <w:lastRenderedPageBreak/>
        <w:t>POVZETEK RAČUNOVODSKEGA POROČILA</w:t>
      </w:r>
    </w:p>
    <w:p w14:paraId="7D5EDE7A" w14:textId="77777777" w:rsidR="006B696E" w:rsidRPr="00992E71" w:rsidRDefault="006B696E" w:rsidP="00CE5D66">
      <w:pPr>
        <w:rPr>
          <w:rFonts w:ascii="Open Sans" w:hAnsi="Open Sans" w:cs="Open Sans"/>
          <w:b/>
          <w:sz w:val="20"/>
          <w:szCs w:val="20"/>
        </w:rPr>
      </w:pPr>
    </w:p>
    <w:p w14:paraId="3B89F2DE" w14:textId="5058D987" w:rsidR="0066316B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B31509">
        <w:rPr>
          <w:rFonts w:ascii="Open Sans" w:hAnsi="Open Sans" w:cs="Open Sans"/>
          <w:b/>
          <w:sz w:val="20"/>
          <w:szCs w:val="20"/>
        </w:rPr>
        <w:t>bilance stanja na dan 30.6</w:t>
      </w:r>
      <w:r w:rsidR="00C9787C">
        <w:rPr>
          <w:rFonts w:ascii="Open Sans" w:hAnsi="Open Sans" w:cs="Open Sans"/>
          <w:b/>
          <w:sz w:val="20"/>
          <w:szCs w:val="20"/>
        </w:rPr>
        <w:t>.202</w:t>
      </w:r>
      <w:r w:rsidR="006469E3">
        <w:rPr>
          <w:rFonts w:ascii="Open Sans" w:hAnsi="Open Sans" w:cs="Open Sans"/>
          <w:b/>
          <w:sz w:val="20"/>
          <w:szCs w:val="20"/>
        </w:rPr>
        <w:t>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8"/>
        <w:gridCol w:w="1221"/>
        <w:gridCol w:w="1221"/>
      </w:tblGrid>
      <w:tr w:rsidR="006469E3" w:rsidRPr="006469E3" w14:paraId="29E9A7DF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96941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(v EUR)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7D52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30.06.2022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5A1522" w14:textId="65AB972B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31.12.</w:t>
            </w:r>
            <w:r w:rsidR="00913974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202</w:t>
            </w:r>
            <w:r w:rsidR="001B5F6A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1</w:t>
            </w:r>
          </w:p>
        </w:tc>
      </w:tr>
      <w:tr w:rsidR="006469E3" w:rsidRPr="006469E3" w14:paraId="0E46628C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9ECC8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Dolgoročna sredstva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D752B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8.339.874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4DB8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7.866.978</w:t>
            </w:r>
          </w:p>
        </w:tc>
      </w:tr>
      <w:tr w:rsidR="006469E3" w:rsidRPr="006469E3" w14:paraId="3D526E71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F578C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Neopredmetena sredstva in dolgoročne aktivne časovne razmejitve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E62A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37.088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BCE34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44.038</w:t>
            </w:r>
          </w:p>
        </w:tc>
      </w:tr>
      <w:tr w:rsidR="006469E3" w:rsidRPr="006469E3" w14:paraId="5DE1C5D9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BED1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Opredmetena osnovna sredstva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C22A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590.480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9580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638.101</w:t>
            </w:r>
          </w:p>
        </w:tc>
      </w:tr>
      <w:tr w:rsidR="006469E3" w:rsidRPr="006469E3" w14:paraId="4AF7852F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00B78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Naložbene nepremičnine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DB2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5.363.791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92C5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4.724.348</w:t>
            </w:r>
          </w:p>
        </w:tc>
      </w:tr>
      <w:tr w:rsidR="006469E3" w:rsidRPr="006469E3" w14:paraId="44CC84FD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D4C0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Dolgoročne finančne naložbe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A1D8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2.329.334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BA95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2.442.860</w:t>
            </w:r>
          </w:p>
        </w:tc>
      </w:tr>
      <w:tr w:rsidR="006469E3" w:rsidRPr="006469E3" w14:paraId="5F2BF3C9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A696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Dolgoročne poslovne terjatve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1D00B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18.458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6D9B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17.631</w:t>
            </w:r>
          </w:p>
        </w:tc>
      </w:tr>
      <w:tr w:rsidR="006469E3" w:rsidRPr="006469E3" w14:paraId="337E02B2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4604E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Odložene terjatve za davek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F549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722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3744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6469E3" w:rsidRPr="006469E3" w14:paraId="6171CA28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A3C16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Kratkoročna sredstva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FCE2A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3.163.319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5079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3.808.798</w:t>
            </w:r>
          </w:p>
        </w:tc>
      </w:tr>
      <w:tr w:rsidR="006469E3" w:rsidRPr="006469E3" w14:paraId="09365C9D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A98ED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Kratkoročne finančne naložbe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9B54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1.362.757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B73C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1.368.208</w:t>
            </w:r>
          </w:p>
        </w:tc>
      </w:tr>
      <w:tr w:rsidR="006469E3" w:rsidRPr="006469E3" w14:paraId="79476D3E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B9E0C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Kratkoročne poslovne terjatve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EFE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886.753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431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295.895</w:t>
            </w:r>
          </w:p>
        </w:tc>
      </w:tr>
      <w:tr w:rsidR="006469E3" w:rsidRPr="006469E3" w14:paraId="5DE8C29F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6E3F3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Denarna sredstva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3C80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913.809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A954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2.144.696</w:t>
            </w:r>
          </w:p>
        </w:tc>
      </w:tr>
      <w:tr w:rsidR="006469E3" w:rsidRPr="006469E3" w14:paraId="610FC8BD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F3610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Kratkoročne aktivne časovne razmejitve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9D7A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65.293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32BA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18.475</w:t>
            </w:r>
          </w:p>
        </w:tc>
      </w:tr>
      <w:tr w:rsidR="006469E3" w:rsidRPr="006469E3" w14:paraId="5BB4A166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3594F7B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SKUPAJ SREDSTVA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2EF00764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11.568.486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49584DF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11.694.250</w:t>
            </w:r>
          </w:p>
        </w:tc>
      </w:tr>
      <w:tr w:rsidR="006469E3" w:rsidRPr="006469E3" w14:paraId="3B8095C4" w14:textId="77777777" w:rsidTr="00700688">
        <w:trPr>
          <w:trHeight w:val="310"/>
        </w:trPr>
        <w:tc>
          <w:tcPr>
            <w:tcW w:w="36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BA0B2A0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EF1858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29C915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6469E3" w:rsidRPr="006469E3" w14:paraId="3C43D4F8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E4DE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Kapital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F7E9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10.828.963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95C3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10.574.707</w:t>
            </w:r>
          </w:p>
        </w:tc>
      </w:tr>
      <w:tr w:rsidR="006469E3" w:rsidRPr="006469E3" w14:paraId="1B2B87D8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DF4E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Vpoklicani kapital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0E5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3.977.325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82A4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3.977.325</w:t>
            </w:r>
          </w:p>
        </w:tc>
      </w:tr>
      <w:tr w:rsidR="006469E3" w:rsidRPr="006469E3" w14:paraId="255FB9C9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21F6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Kapitalske rezerve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ED8EB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3.359.188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4A7A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3.359.188</w:t>
            </w:r>
          </w:p>
        </w:tc>
      </w:tr>
      <w:tr w:rsidR="006469E3" w:rsidRPr="006469E3" w14:paraId="64F4C003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715E1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Rezerve iz dobička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F4BFA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2.751.424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29D9A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2.751.424</w:t>
            </w:r>
          </w:p>
        </w:tc>
      </w:tr>
      <w:tr w:rsidR="006469E3" w:rsidRPr="006469E3" w14:paraId="0266A97F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70D3C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Rezerve, nastale zaradi vrednotenja po pošteni vrednosti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6E9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100.483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7899A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196.854</w:t>
            </w:r>
          </w:p>
        </w:tc>
      </w:tr>
      <w:tr w:rsidR="006469E3" w:rsidRPr="006469E3" w14:paraId="4B454A69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2ABB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Preneseni čisti poslovni izid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1073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127.783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FFF63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364.648</w:t>
            </w:r>
          </w:p>
        </w:tc>
      </w:tr>
      <w:tr w:rsidR="006469E3" w:rsidRPr="006469E3" w14:paraId="229F918D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488FE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Čisti poslovni izid poslovnega leta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852D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512.761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FB2E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-74.731</w:t>
            </w:r>
          </w:p>
        </w:tc>
      </w:tr>
      <w:tr w:rsidR="006469E3" w:rsidRPr="006469E3" w14:paraId="58C76ED3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FA04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Rezervacije in dolgoročne pasivne časovne razmejitve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44CF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51.572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84CC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56.782</w:t>
            </w:r>
          </w:p>
        </w:tc>
      </w:tr>
      <w:tr w:rsidR="006469E3" w:rsidRPr="006469E3" w14:paraId="7B8D6674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37562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Dolgoročne obveznosti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B1D8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316.488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961E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307.994</w:t>
            </w:r>
          </w:p>
        </w:tc>
      </w:tr>
      <w:tr w:rsidR="006469E3" w:rsidRPr="006469E3" w14:paraId="5F04F248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D415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Dolgoročne poslovne obveznosti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7F3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316.488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E692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286.110</w:t>
            </w:r>
          </w:p>
        </w:tc>
      </w:tr>
      <w:tr w:rsidR="006469E3" w:rsidRPr="006469E3" w14:paraId="23BBDFA6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F8A53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Odložene obveznosti za davek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A67A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7087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21.883</w:t>
            </w:r>
          </w:p>
        </w:tc>
      </w:tr>
      <w:tr w:rsidR="006469E3" w:rsidRPr="006469E3" w14:paraId="6A9A7B09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9BDF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Kratkoročne obveznosti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BBF8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323.752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B89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699.513</w:t>
            </w:r>
          </w:p>
        </w:tc>
      </w:tr>
      <w:tr w:rsidR="006469E3" w:rsidRPr="006469E3" w14:paraId="1DE5B866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EE8DA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Kratkoročne finančne obveznosti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7D23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7FB05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3.224</w:t>
            </w:r>
          </w:p>
        </w:tc>
      </w:tr>
      <w:tr w:rsidR="006469E3" w:rsidRPr="006469E3" w14:paraId="075228DC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FE2C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Kratkoročne poslovne obveznosti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B5E8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323.752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56AE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696.289</w:t>
            </w:r>
          </w:p>
        </w:tc>
      </w:tr>
      <w:tr w:rsidR="006469E3" w:rsidRPr="006469E3" w14:paraId="1728A332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641B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Kratkoročne pasivne časovne razmejitve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3A90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47.711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83726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55.253</w:t>
            </w:r>
          </w:p>
        </w:tc>
      </w:tr>
      <w:tr w:rsidR="006469E3" w:rsidRPr="006469E3" w14:paraId="479B543E" w14:textId="77777777" w:rsidTr="00700688">
        <w:trPr>
          <w:trHeight w:val="310"/>
        </w:trPr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0D097F59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SKUPAJ OBVEZNOSTI DO VIROV SREDSTEV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4067261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11.568.486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7B7B7B"/>
            <w:vAlign w:val="center"/>
            <w:hideMark/>
          </w:tcPr>
          <w:p w14:paraId="502C1E8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11.694.250</w:t>
            </w:r>
          </w:p>
        </w:tc>
      </w:tr>
    </w:tbl>
    <w:p w14:paraId="7B9DFBB6" w14:textId="77777777" w:rsidR="006469E3" w:rsidRPr="006469E3" w:rsidRDefault="006469E3" w:rsidP="006469E3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63714ED" w14:textId="77777777" w:rsidR="00DD6D66" w:rsidRPr="00992E71" w:rsidRDefault="00DD6D66" w:rsidP="00DD6D66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p w14:paraId="46DE91E4" w14:textId="77777777" w:rsidR="00967173" w:rsidRPr="00992E71" w:rsidRDefault="00967173" w:rsidP="00CE5D66">
      <w:pPr>
        <w:rPr>
          <w:rFonts w:ascii="Open Sans" w:hAnsi="Open Sans" w:cs="Open Sans"/>
          <w:sz w:val="20"/>
          <w:szCs w:val="20"/>
          <w:u w:val="single"/>
        </w:rPr>
      </w:pPr>
    </w:p>
    <w:p w14:paraId="3C98CF39" w14:textId="58549A00" w:rsidR="004F0982" w:rsidRDefault="004F0982">
      <w:pPr>
        <w:rPr>
          <w:rFonts w:ascii="Open Sans" w:hAnsi="Open Sans" w:cs="Open Sans"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70D68798" w14:textId="335109BC" w:rsidR="00967173" w:rsidRPr="00992E71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967173" w:rsidRPr="00992E71">
        <w:rPr>
          <w:rFonts w:ascii="Open Sans" w:hAnsi="Open Sans" w:cs="Open Sans"/>
          <w:b/>
          <w:sz w:val="20"/>
          <w:szCs w:val="20"/>
        </w:rPr>
        <w:t xml:space="preserve">izkaza </w:t>
      </w:r>
      <w:r w:rsidR="00E006F9" w:rsidRPr="00992E71">
        <w:rPr>
          <w:rFonts w:ascii="Open Sans" w:hAnsi="Open Sans" w:cs="Open Sans"/>
          <w:b/>
          <w:sz w:val="20"/>
          <w:szCs w:val="20"/>
        </w:rPr>
        <w:t>celotnega vseobsegajočeg</w:t>
      </w:r>
      <w:r w:rsidR="00CC06E1">
        <w:rPr>
          <w:rFonts w:ascii="Open Sans" w:hAnsi="Open Sans" w:cs="Open Sans"/>
          <w:b/>
          <w:sz w:val="20"/>
          <w:szCs w:val="20"/>
        </w:rPr>
        <w:t>a donosa za obdobje 1.1. do 30.6</w:t>
      </w:r>
      <w:r w:rsidR="000A497B">
        <w:rPr>
          <w:rFonts w:ascii="Open Sans" w:hAnsi="Open Sans" w:cs="Open Sans"/>
          <w:b/>
          <w:sz w:val="20"/>
          <w:szCs w:val="20"/>
        </w:rPr>
        <w:t>.202</w:t>
      </w:r>
      <w:r w:rsidR="006469E3">
        <w:rPr>
          <w:rFonts w:ascii="Open Sans" w:hAnsi="Open Sans" w:cs="Open Sans"/>
          <w:b/>
          <w:sz w:val="20"/>
          <w:szCs w:val="20"/>
        </w:rPr>
        <w:t>2</w:t>
      </w:r>
    </w:p>
    <w:p w14:paraId="711CCA8D" w14:textId="77777777" w:rsidR="000502F0" w:rsidRPr="00992E71" w:rsidRDefault="000502F0" w:rsidP="000502F0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1419"/>
        <w:gridCol w:w="1415"/>
      </w:tblGrid>
      <w:tr w:rsidR="00700688" w:rsidRPr="006469E3" w14:paraId="1BF96336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FD154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(v EUR)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E37B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1.1.-30.6.2022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1D3EA7" w14:textId="0225B35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1.1.-30.6.</w:t>
            </w:r>
            <w:r w:rsidR="00913974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2022</w:t>
            </w:r>
          </w:p>
        </w:tc>
      </w:tr>
      <w:tr w:rsidR="00700688" w:rsidRPr="006469E3" w14:paraId="6CCA4898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FE09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Čisti prihodki od prodaje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CFC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1.372.279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A033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1.224.431</w:t>
            </w:r>
          </w:p>
        </w:tc>
      </w:tr>
      <w:tr w:rsidR="00700688" w:rsidRPr="006469E3" w14:paraId="022940DD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FD37A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Drugi poslovni prihodki (s prevrednotovalnimi poslovnimi prihodki)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0A44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5.344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BBB3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632.944</w:t>
            </w:r>
          </w:p>
        </w:tc>
      </w:tr>
      <w:tr w:rsidR="00700688" w:rsidRPr="006469E3" w14:paraId="5C25CD94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A0DA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Stroški blaga, materiala in storitev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A1EA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-361.745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5CCF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-294.340</w:t>
            </w:r>
          </w:p>
        </w:tc>
      </w:tr>
      <w:tr w:rsidR="00700688" w:rsidRPr="006469E3" w14:paraId="71C70285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C89C9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Stroški dela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EAC1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-139.008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D313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-130.493</w:t>
            </w:r>
          </w:p>
        </w:tc>
      </w:tr>
      <w:tr w:rsidR="00700688" w:rsidRPr="006469E3" w14:paraId="7D25B7E2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890D7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Odpisi vrednosti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970E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-202.743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E38C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-183.372</w:t>
            </w:r>
          </w:p>
        </w:tc>
      </w:tr>
      <w:tr w:rsidR="00700688" w:rsidRPr="006469E3" w14:paraId="00FF0492" w14:textId="77777777" w:rsidTr="00700688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0C47C6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Drugi poslovni odhodki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2A355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-167.968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4D5693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-101.493</w:t>
            </w:r>
          </w:p>
        </w:tc>
      </w:tr>
      <w:tr w:rsidR="00700688" w:rsidRPr="006469E3" w14:paraId="36FB0F2B" w14:textId="77777777" w:rsidTr="00700688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5F0D3C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Poslovni izid iz poslovanja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8B997B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506.160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8BCB1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1.147.678</w:t>
            </w:r>
          </w:p>
        </w:tc>
      </w:tr>
      <w:tr w:rsidR="00700688" w:rsidRPr="006469E3" w14:paraId="13562714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A7FB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Finančni prihodki iz finančnih naložb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62D5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669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61E53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392</w:t>
            </w:r>
          </w:p>
        </w:tc>
      </w:tr>
      <w:tr w:rsidR="00700688" w:rsidRPr="006469E3" w14:paraId="499B610C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EFCC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Finančni prihodki od obresti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D548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74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09CC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7</w:t>
            </w:r>
          </w:p>
        </w:tc>
      </w:tr>
      <w:tr w:rsidR="00700688" w:rsidRPr="006469E3" w14:paraId="12A10D72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6F2A2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Finančni prihodki iz poslovnih terjatev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128E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FCC64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700688" w:rsidRPr="006469E3" w14:paraId="66BB8B1E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D7E38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Finančni odhodki iz finančnih obveznosti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FFFD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6983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700688" w:rsidRPr="006469E3" w14:paraId="7BA117E0" w14:textId="77777777" w:rsidTr="00700688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D4DCC2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Finančni odhodki iz poslovnih obveznosti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D6AA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-38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A92FF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-4</w:t>
            </w:r>
          </w:p>
        </w:tc>
      </w:tr>
      <w:tr w:rsidR="00700688" w:rsidRPr="006469E3" w14:paraId="3E232869" w14:textId="77777777" w:rsidTr="00700688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1DD8B8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Poslovni izid iz financiranja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0FFDDD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705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8AB3DF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394</w:t>
            </w:r>
          </w:p>
        </w:tc>
      </w:tr>
      <w:tr w:rsidR="00700688" w:rsidRPr="006469E3" w14:paraId="27BC0424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21909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Drugi prihodki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766C1" w14:textId="1D5BE0C1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</w:t>
            </w:r>
            <w:r w:rsidR="00CF41B6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.</w:t>
            </w: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901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D6F3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575</w:t>
            </w:r>
          </w:p>
        </w:tc>
      </w:tr>
      <w:tr w:rsidR="00700688" w:rsidRPr="006469E3" w14:paraId="0B62D228" w14:textId="77777777" w:rsidTr="00700688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F7A713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Drugi odhodki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D1877B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472BA8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700688" w:rsidRPr="006469E3" w14:paraId="03E4463E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50166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Davek iz dobička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3A116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7AC92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700688" w:rsidRPr="006469E3" w14:paraId="53261A08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76CE5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Odloženi davki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98C2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4F9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700688" w:rsidRPr="006469E3" w14:paraId="4481E439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77C1931F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ČISTI POSLOVNI IZID OBRAČUNSKEGA OBDOBJA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583613E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512.761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2DA59640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1.148.647</w:t>
            </w:r>
          </w:p>
        </w:tc>
      </w:tr>
      <w:tr w:rsidR="00700688" w:rsidRPr="006469E3" w14:paraId="4ACB88C7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42BD0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Sprememba rezerv, nastalih zaradi vrednotenja po pošteni vrednosti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184DC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-96.372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2AB89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44.200</w:t>
            </w:r>
          </w:p>
        </w:tc>
      </w:tr>
      <w:tr w:rsidR="00700688" w:rsidRPr="006469E3" w14:paraId="65388504" w14:textId="77777777" w:rsidTr="00700688">
        <w:trPr>
          <w:trHeight w:val="30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7D4B043E" w14:textId="77777777" w:rsidR="006469E3" w:rsidRPr="006469E3" w:rsidRDefault="006469E3" w:rsidP="006469E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CELOTNI VSEOBSEGAJOČI DONOS OBRAČUNSKEGA OBDOBJA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41EEC971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416.389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767171"/>
            <w:vAlign w:val="center"/>
            <w:hideMark/>
          </w:tcPr>
          <w:p w14:paraId="00B2C4E7" w14:textId="77777777" w:rsidR="006469E3" w:rsidRPr="006469E3" w:rsidRDefault="006469E3" w:rsidP="006469E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6469E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1.192.847</w:t>
            </w:r>
          </w:p>
        </w:tc>
      </w:tr>
    </w:tbl>
    <w:p w14:paraId="114EA3A9" w14:textId="2390349F" w:rsidR="000502F0" w:rsidRPr="00992E71" w:rsidRDefault="000502F0" w:rsidP="00CE5D66">
      <w:pPr>
        <w:rPr>
          <w:rFonts w:ascii="Open Sans" w:hAnsi="Open Sans" w:cs="Open Sans"/>
          <w:sz w:val="20"/>
          <w:szCs w:val="20"/>
          <w:u w:val="single"/>
        </w:rPr>
      </w:pPr>
      <w:r w:rsidRPr="00992E71"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10E94332" w14:textId="77777777" w:rsidR="007F2C92" w:rsidRPr="00992E71" w:rsidRDefault="007F2C92" w:rsidP="007F2C9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Pojasnila k povzetkom računovodskih izkazov</w:t>
      </w:r>
    </w:p>
    <w:p w14:paraId="5FC37C80" w14:textId="7449D8FC" w:rsidR="0001713F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</w:t>
      </w:r>
      <w:r w:rsidR="002C29A8">
        <w:rPr>
          <w:rFonts w:ascii="Open Sans" w:hAnsi="Open Sans" w:cs="Open Sans"/>
          <w:sz w:val="20"/>
          <w:szCs w:val="20"/>
        </w:rPr>
        <w:t xml:space="preserve"> izkazov za obdobje 1.1. do 30.6</w:t>
      </w:r>
      <w:r w:rsidR="00C6010E">
        <w:rPr>
          <w:rFonts w:ascii="Open Sans" w:hAnsi="Open Sans" w:cs="Open Sans"/>
          <w:sz w:val="20"/>
          <w:szCs w:val="20"/>
        </w:rPr>
        <w:t>.202</w:t>
      </w:r>
      <w:r w:rsidR="00447AF0">
        <w:rPr>
          <w:rFonts w:ascii="Open Sans" w:hAnsi="Open Sans" w:cs="Open Sans"/>
          <w:sz w:val="20"/>
          <w:szCs w:val="20"/>
        </w:rPr>
        <w:t>2</w:t>
      </w:r>
      <w:r w:rsidRPr="00992E71">
        <w:rPr>
          <w:rFonts w:ascii="Open Sans" w:hAnsi="Open Sans" w:cs="Open Sans"/>
          <w:sz w:val="20"/>
          <w:szCs w:val="20"/>
        </w:rPr>
        <w:t xml:space="preserve"> so izdelani na podlagi Slovenskih ra</w:t>
      </w:r>
      <w:r w:rsidR="00FF0E1C">
        <w:rPr>
          <w:rFonts w:ascii="Open Sans" w:hAnsi="Open Sans" w:cs="Open Sans"/>
          <w:sz w:val="20"/>
          <w:szCs w:val="20"/>
        </w:rPr>
        <w:t>čunovodskih standardov (SRS 2019</w:t>
      </w:r>
      <w:r w:rsidRPr="00992E71">
        <w:rPr>
          <w:rFonts w:ascii="Open Sans" w:hAnsi="Open Sans" w:cs="Open Sans"/>
          <w:sz w:val="20"/>
          <w:szCs w:val="20"/>
        </w:rPr>
        <w:t>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ter so skladni z zahtevami Zakona</w:t>
      </w:r>
      <w:r w:rsidRPr="00992E71">
        <w:rPr>
          <w:rFonts w:ascii="Open Sans" w:hAnsi="Open Sans" w:cs="Open Sans"/>
          <w:sz w:val="20"/>
          <w:szCs w:val="20"/>
        </w:rPr>
        <w:t xml:space="preserve"> o gospodarskih družbah (ZGD-1)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in Zakona o trgu finančnih instrumentov (ZTFI)</w:t>
      </w:r>
      <w:r w:rsidRPr="00992E71">
        <w:rPr>
          <w:rFonts w:ascii="Open Sans" w:hAnsi="Open Sans" w:cs="Open Sans"/>
          <w:sz w:val="20"/>
          <w:szCs w:val="20"/>
        </w:rPr>
        <w:t>. Upoštevani sta temeljni računovodski predpostavki;</w:t>
      </w:r>
      <w:r w:rsidR="00F30A87" w:rsidRPr="00992E71">
        <w:rPr>
          <w:rFonts w:ascii="Open Sans" w:hAnsi="Open Sans" w:cs="Open Sans"/>
          <w:sz w:val="20"/>
          <w:szCs w:val="20"/>
        </w:rPr>
        <w:t xml:space="preserve"> upoštevanja nastanka poslovnih dogodkov</w:t>
      </w:r>
      <w:r w:rsidRPr="00992E71">
        <w:rPr>
          <w:rFonts w:ascii="Open Sans" w:hAnsi="Open Sans" w:cs="Open Sans"/>
          <w:sz w:val="20"/>
          <w:szCs w:val="20"/>
        </w:rPr>
        <w:t xml:space="preserve"> in upoštevanje časovne neomejenosti delovanja.</w:t>
      </w:r>
    </w:p>
    <w:p w14:paraId="698C2233" w14:textId="6B8AAE33" w:rsidR="00344855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Pri pripravi povzetkov računovodskih i</w:t>
      </w:r>
      <w:r w:rsidR="001D34AB">
        <w:rPr>
          <w:rFonts w:ascii="Open Sans" w:hAnsi="Open Sans" w:cs="Open Sans"/>
          <w:sz w:val="20"/>
          <w:szCs w:val="20"/>
        </w:rPr>
        <w:t>zkazov so bila</w:t>
      </w:r>
      <w:r w:rsidRPr="00992E71">
        <w:rPr>
          <w:rFonts w:ascii="Open Sans" w:hAnsi="Open Sans" w:cs="Open Sans"/>
          <w:sz w:val="20"/>
          <w:szCs w:val="20"/>
        </w:rPr>
        <w:t xml:space="preserve"> upoštevana enaka načela pripoznavanja in vrednotenja kot pri pripravi letnega računovodskega poročila.   </w:t>
      </w:r>
    </w:p>
    <w:p w14:paraId="4008E75A" w14:textId="001EA527" w:rsidR="00BA56BD" w:rsidRPr="00992E71" w:rsidRDefault="00AF7D1C" w:rsidP="00AF7D1C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 izkazov za obdobje 1.1. do</w:t>
      </w:r>
      <w:r w:rsidR="002C29A8">
        <w:rPr>
          <w:rFonts w:ascii="Open Sans" w:hAnsi="Open Sans" w:cs="Open Sans"/>
          <w:sz w:val="20"/>
          <w:szCs w:val="20"/>
        </w:rPr>
        <w:t xml:space="preserve"> 30.6</w:t>
      </w:r>
      <w:r w:rsidR="00297B5A">
        <w:rPr>
          <w:rFonts w:ascii="Open Sans" w:hAnsi="Open Sans" w:cs="Open Sans"/>
          <w:sz w:val="20"/>
          <w:szCs w:val="20"/>
        </w:rPr>
        <w:t>.2</w:t>
      </w:r>
      <w:r w:rsidR="00C6010E">
        <w:rPr>
          <w:rFonts w:ascii="Open Sans" w:hAnsi="Open Sans" w:cs="Open Sans"/>
          <w:sz w:val="20"/>
          <w:szCs w:val="20"/>
        </w:rPr>
        <w:t>02</w:t>
      </w:r>
      <w:r w:rsidR="00447AF0">
        <w:rPr>
          <w:rFonts w:ascii="Open Sans" w:hAnsi="Open Sans" w:cs="Open Sans"/>
          <w:sz w:val="20"/>
          <w:szCs w:val="20"/>
        </w:rPr>
        <w:t>2</w:t>
      </w:r>
      <w:r w:rsidR="00BA56BD" w:rsidRPr="00992E71">
        <w:rPr>
          <w:rFonts w:ascii="Open Sans" w:hAnsi="Open Sans" w:cs="Open Sans"/>
          <w:sz w:val="20"/>
          <w:szCs w:val="20"/>
        </w:rPr>
        <w:t xml:space="preserve"> </w:t>
      </w:r>
      <w:r w:rsidR="0009087D" w:rsidRPr="00992E71">
        <w:rPr>
          <w:rFonts w:ascii="Open Sans" w:hAnsi="Open Sans" w:cs="Open Sans"/>
          <w:sz w:val="20"/>
          <w:szCs w:val="20"/>
        </w:rPr>
        <w:t xml:space="preserve">niso </w:t>
      </w:r>
      <w:r w:rsidR="00BA56BD" w:rsidRPr="00992E71">
        <w:rPr>
          <w:rFonts w:ascii="Open Sans" w:hAnsi="Open Sans" w:cs="Open Sans"/>
          <w:sz w:val="20"/>
          <w:szCs w:val="20"/>
        </w:rPr>
        <w:t>revidirani in jih je potrebno brati skupaj z za</w:t>
      </w:r>
      <w:r w:rsidRPr="00992E71">
        <w:rPr>
          <w:rFonts w:ascii="Open Sans" w:hAnsi="Open Sans" w:cs="Open Sans"/>
          <w:sz w:val="20"/>
          <w:szCs w:val="20"/>
        </w:rPr>
        <w:t>dnjim objavljenim revidiranim letnim poročilom.</w:t>
      </w:r>
    </w:p>
    <w:p w14:paraId="30A045F5" w14:textId="24AD9EFA" w:rsidR="00DB26E3" w:rsidRPr="00992E71" w:rsidRDefault="00DB26E3" w:rsidP="0041305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Postavke v </w:t>
      </w:r>
      <w:r w:rsidR="002413BF">
        <w:rPr>
          <w:rFonts w:ascii="Open Sans" w:hAnsi="Open Sans" w:cs="Open Sans"/>
          <w:sz w:val="20"/>
          <w:szCs w:val="20"/>
        </w:rPr>
        <w:t xml:space="preserve">povzetkih </w:t>
      </w:r>
      <w:r w:rsidRPr="00992E71">
        <w:rPr>
          <w:rFonts w:ascii="Open Sans" w:hAnsi="Open Sans" w:cs="Open Sans"/>
          <w:sz w:val="20"/>
          <w:szCs w:val="20"/>
        </w:rPr>
        <w:t>računovodskih iz</w:t>
      </w:r>
      <w:r w:rsidR="002413BF">
        <w:rPr>
          <w:rFonts w:ascii="Open Sans" w:hAnsi="Open Sans" w:cs="Open Sans"/>
          <w:sz w:val="20"/>
          <w:szCs w:val="20"/>
        </w:rPr>
        <w:t>kazov</w:t>
      </w:r>
      <w:r w:rsidRPr="00992E71">
        <w:rPr>
          <w:rFonts w:ascii="Open Sans" w:hAnsi="Open Sans" w:cs="Open Sans"/>
          <w:sz w:val="20"/>
          <w:szCs w:val="20"/>
        </w:rPr>
        <w:t xml:space="preserve"> so prikazane v evrih, ki so funkcijska in predstavitvena valuta družbe.</w:t>
      </w:r>
    </w:p>
    <w:p w14:paraId="07B8F19A" w14:textId="4565DE72" w:rsidR="00B3289F" w:rsidRDefault="002413BF" w:rsidP="00413056">
      <w:pPr>
        <w:jc w:val="both"/>
        <w:rPr>
          <w:rFonts w:ascii="Open Sans" w:hAnsi="Open Sans" w:cs="Open Sans"/>
          <w:sz w:val="20"/>
          <w:szCs w:val="20"/>
        </w:rPr>
      </w:pPr>
      <w:r w:rsidRPr="002413BF">
        <w:rPr>
          <w:rFonts w:ascii="Open Sans" w:hAnsi="Open Sans" w:cs="Open Sans"/>
          <w:sz w:val="20"/>
          <w:szCs w:val="20"/>
        </w:rPr>
        <w:t xml:space="preserve">Računovodske usmeritve, ki so bile uporabljene pri pripravi </w:t>
      </w:r>
      <w:r>
        <w:rPr>
          <w:rFonts w:ascii="Open Sans" w:hAnsi="Open Sans" w:cs="Open Sans"/>
          <w:sz w:val="20"/>
          <w:szCs w:val="20"/>
        </w:rPr>
        <w:t xml:space="preserve">povzetkov </w:t>
      </w:r>
      <w:r w:rsidRPr="002413BF">
        <w:rPr>
          <w:rFonts w:ascii="Open Sans" w:hAnsi="Open Sans" w:cs="Open Sans"/>
          <w:sz w:val="20"/>
          <w:szCs w:val="20"/>
        </w:rPr>
        <w:t>računovodskih izkazov</w:t>
      </w:r>
      <w:r>
        <w:rPr>
          <w:rFonts w:ascii="Open Sans" w:hAnsi="Open Sans" w:cs="Open Sans"/>
          <w:sz w:val="20"/>
          <w:szCs w:val="20"/>
        </w:rPr>
        <w:t xml:space="preserve"> na </w:t>
      </w:r>
      <w:r w:rsidR="00166CED">
        <w:rPr>
          <w:rFonts w:ascii="Open Sans" w:hAnsi="Open Sans" w:cs="Open Sans"/>
          <w:sz w:val="20"/>
          <w:szCs w:val="20"/>
        </w:rPr>
        <w:t xml:space="preserve">dan </w:t>
      </w:r>
      <w:r w:rsidR="002C29A8">
        <w:rPr>
          <w:rFonts w:ascii="Open Sans" w:hAnsi="Open Sans" w:cs="Open Sans"/>
          <w:sz w:val="20"/>
          <w:szCs w:val="20"/>
        </w:rPr>
        <w:t>30.6</w:t>
      </w:r>
      <w:r w:rsidR="009555DF">
        <w:rPr>
          <w:rFonts w:ascii="Open Sans" w:hAnsi="Open Sans" w:cs="Open Sans"/>
          <w:sz w:val="20"/>
          <w:szCs w:val="20"/>
        </w:rPr>
        <w:t>.202</w:t>
      </w:r>
      <w:r w:rsidR="00447AF0">
        <w:rPr>
          <w:rFonts w:ascii="Open Sans" w:hAnsi="Open Sans" w:cs="Open Sans"/>
          <w:sz w:val="20"/>
          <w:szCs w:val="20"/>
        </w:rPr>
        <w:t>2</w:t>
      </w:r>
      <w:r w:rsidRPr="002413BF">
        <w:rPr>
          <w:rFonts w:ascii="Open Sans" w:hAnsi="Open Sans" w:cs="Open Sans"/>
          <w:sz w:val="20"/>
          <w:szCs w:val="20"/>
        </w:rPr>
        <w:t>, so enake kot pri pripravi računovodskih izkazov za poslovno le</w:t>
      </w:r>
      <w:r w:rsidR="00166CED">
        <w:rPr>
          <w:rFonts w:ascii="Open Sans" w:hAnsi="Open Sans" w:cs="Open Sans"/>
          <w:sz w:val="20"/>
          <w:szCs w:val="20"/>
        </w:rPr>
        <w:t>to, ki se je zaključilo na dan 31.12.</w:t>
      </w:r>
      <w:r w:rsidR="00913974">
        <w:rPr>
          <w:rFonts w:ascii="Open Sans" w:hAnsi="Open Sans" w:cs="Open Sans"/>
          <w:sz w:val="20"/>
          <w:szCs w:val="20"/>
        </w:rPr>
        <w:t>202</w:t>
      </w:r>
      <w:r w:rsidR="00430822">
        <w:rPr>
          <w:rFonts w:ascii="Open Sans" w:hAnsi="Open Sans" w:cs="Open Sans"/>
          <w:sz w:val="20"/>
          <w:szCs w:val="20"/>
        </w:rPr>
        <w:t>1</w:t>
      </w:r>
      <w:r w:rsidR="00297B5A">
        <w:rPr>
          <w:rFonts w:ascii="Open Sans" w:hAnsi="Open Sans" w:cs="Open Sans"/>
          <w:sz w:val="20"/>
          <w:szCs w:val="20"/>
        </w:rPr>
        <w:t>.</w:t>
      </w:r>
      <w:r w:rsidRPr="002413BF">
        <w:rPr>
          <w:rFonts w:ascii="Open Sans" w:hAnsi="Open Sans" w:cs="Open Sans"/>
          <w:sz w:val="20"/>
          <w:szCs w:val="20"/>
        </w:rPr>
        <w:t xml:space="preserve"> </w:t>
      </w:r>
    </w:p>
    <w:p w14:paraId="643ACED5" w14:textId="5CDF3F32" w:rsidR="00532CD0" w:rsidRDefault="00D972F9" w:rsidP="0041305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do 30.6</w:t>
      </w:r>
      <w:r w:rsidR="009555DF">
        <w:rPr>
          <w:rFonts w:ascii="Open Sans" w:hAnsi="Open Sans" w:cs="Open Sans"/>
          <w:sz w:val="20"/>
          <w:szCs w:val="20"/>
        </w:rPr>
        <w:t>.202</w:t>
      </w:r>
      <w:r w:rsidR="00447AF0">
        <w:rPr>
          <w:rFonts w:ascii="Open Sans" w:hAnsi="Open Sans" w:cs="Open Sans"/>
          <w:sz w:val="20"/>
          <w:szCs w:val="20"/>
        </w:rPr>
        <w:t>2</w:t>
      </w:r>
      <w:r w:rsidR="00413056" w:rsidRPr="00992E71">
        <w:rPr>
          <w:rFonts w:ascii="Open Sans" w:hAnsi="Open Sans" w:cs="Open Sans"/>
          <w:sz w:val="20"/>
          <w:szCs w:val="20"/>
        </w:rPr>
        <w:t xml:space="preserve"> ni prišlo do spreme</w:t>
      </w:r>
      <w:r w:rsidR="003976B1" w:rsidRPr="00992E71">
        <w:rPr>
          <w:rFonts w:ascii="Open Sans" w:hAnsi="Open Sans" w:cs="Open Sans"/>
          <w:sz w:val="20"/>
          <w:szCs w:val="20"/>
        </w:rPr>
        <w:t xml:space="preserve">mb </w:t>
      </w:r>
      <w:r w:rsidR="00413056" w:rsidRPr="00992E71">
        <w:rPr>
          <w:rFonts w:ascii="Open Sans" w:hAnsi="Open Sans" w:cs="Open Sans"/>
          <w:sz w:val="20"/>
          <w:szCs w:val="20"/>
        </w:rPr>
        <w:t>pri pripravi računovodskih ocen.</w:t>
      </w:r>
      <w:r w:rsidR="001452BC" w:rsidRPr="00992E71">
        <w:rPr>
          <w:rFonts w:ascii="Open Sans" w:hAnsi="Open Sans" w:cs="Open Sans"/>
          <w:sz w:val="20"/>
          <w:szCs w:val="20"/>
        </w:rPr>
        <w:t xml:space="preserve"> Ključne poslovodske presoje in ocene se nanašajo na določanje dobe koristnosti op</w:t>
      </w:r>
      <w:r w:rsidR="00532CD0">
        <w:rPr>
          <w:rFonts w:ascii="Open Sans" w:hAnsi="Open Sans" w:cs="Open Sans"/>
          <w:sz w:val="20"/>
          <w:szCs w:val="20"/>
        </w:rPr>
        <w:t xml:space="preserve">redmetenih osnovnih sredstev, </w:t>
      </w:r>
      <w:r w:rsidR="001452BC" w:rsidRPr="00992E71">
        <w:rPr>
          <w:rFonts w:ascii="Open Sans" w:hAnsi="Open Sans" w:cs="Open Sans"/>
          <w:sz w:val="20"/>
          <w:szCs w:val="20"/>
        </w:rPr>
        <w:t>naložben</w:t>
      </w:r>
      <w:r w:rsidR="00BC0095" w:rsidRPr="00992E71">
        <w:rPr>
          <w:rFonts w:ascii="Open Sans" w:hAnsi="Open Sans" w:cs="Open Sans"/>
          <w:sz w:val="20"/>
          <w:szCs w:val="20"/>
        </w:rPr>
        <w:t>ih nepremičnin</w:t>
      </w:r>
      <w:r w:rsidR="00532CD0">
        <w:rPr>
          <w:rFonts w:ascii="Open Sans" w:hAnsi="Open Sans" w:cs="Open Sans"/>
          <w:sz w:val="20"/>
          <w:szCs w:val="20"/>
        </w:rPr>
        <w:t xml:space="preserve"> in pravice do uporabe najetih sredstev</w:t>
      </w:r>
      <w:r w:rsidR="00BC0095" w:rsidRPr="00992E71">
        <w:rPr>
          <w:rFonts w:ascii="Open Sans" w:hAnsi="Open Sans" w:cs="Open Sans"/>
          <w:sz w:val="20"/>
          <w:szCs w:val="20"/>
        </w:rPr>
        <w:t>,</w:t>
      </w:r>
      <w:r w:rsidR="00532CD0">
        <w:rPr>
          <w:rFonts w:ascii="Open Sans" w:hAnsi="Open Sans" w:cs="Open Sans"/>
          <w:sz w:val="20"/>
          <w:szCs w:val="20"/>
        </w:rPr>
        <w:t xml:space="preserve"> </w:t>
      </w:r>
      <w:r w:rsidR="001452BC" w:rsidRPr="00992E71">
        <w:rPr>
          <w:rFonts w:ascii="Open Sans" w:hAnsi="Open Sans" w:cs="Open Sans"/>
          <w:sz w:val="20"/>
          <w:szCs w:val="20"/>
        </w:rPr>
        <w:t>presojo oslabljenosti sredstev</w:t>
      </w:r>
      <w:r w:rsidR="00BC0095" w:rsidRPr="00992E71">
        <w:rPr>
          <w:rFonts w:ascii="Open Sans" w:hAnsi="Open Sans" w:cs="Open Sans"/>
          <w:sz w:val="20"/>
          <w:szCs w:val="20"/>
        </w:rPr>
        <w:t xml:space="preserve"> ter oceno obveznosti iz naslova bodočih izplačil odpravnin in jubilejnih nagrad</w:t>
      </w:r>
      <w:r w:rsidR="00532CD0">
        <w:rPr>
          <w:rFonts w:ascii="Open Sans" w:hAnsi="Open Sans" w:cs="Open Sans"/>
          <w:sz w:val="20"/>
          <w:szCs w:val="20"/>
        </w:rPr>
        <w:t xml:space="preserve">. </w:t>
      </w:r>
    </w:p>
    <w:p w14:paraId="7B37962A" w14:textId="0E58D963" w:rsidR="00B424AA" w:rsidRDefault="00B424AA" w:rsidP="0041305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Zaradi pandemije Covid-19, ki je povzročila pomemben vpliv na ekonomske in finančne trge, </w:t>
      </w:r>
      <w:r w:rsidR="001B5F6A">
        <w:rPr>
          <w:rFonts w:ascii="Open Sans" w:hAnsi="Open Sans" w:cs="Open Sans"/>
          <w:sz w:val="20"/>
          <w:szCs w:val="20"/>
        </w:rPr>
        <w:t xml:space="preserve">je poslovodstvo </w:t>
      </w:r>
      <w:r>
        <w:rPr>
          <w:rFonts w:ascii="Open Sans" w:hAnsi="Open Sans" w:cs="Open Sans"/>
          <w:sz w:val="20"/>
          <w:szCs w:val="20"/>
        </w:rPr>
        <w:t>dodatno prever</w:t>
      </w:r>
      <w:r w:rsidR="001B5F6A">
        <w:rPr>
          <w:rFonts w:ascii="Open Sans" w:hAnsi="Open Sans" w:cs="Open Sans"/>
          <w:sz w:val="20"/>
          <w:szCs w:val="20"/>
        </w:rPr>
        <w:t>ilo</w:t>
      </w:r>
      <w:r>
        <w:rPr>
          <w:rFonts w:ascii="Open Sans" w:hAnsi="Open Sans" w:cs="Open Sans"/>
          <w:sz w:val="20"/>
          <w:szCs w:val="20"/>
        </w:rPr>
        <w:t xml:space="preserve"> ustreznost računovodskih usmeritev, ocen in predpostavk</w:t>
      </w:r>
      <w:r w:rsidR="00D9658A">
        <w:rPr>
          <w:rFonts w:ascii="Open Sans" w:hAnsi="Open Sans" w:cs="Open Sans"/>
          <w:sz w:val="20"/>
          <w:szCs w:val="20"/>
        </w:rPr>
        <w:t xml:space="preserve">, ki </w:t>
      </w:r>
      <w:r w:rsidR="001B5F6A">
        <w:rPr>
          <w:rFonts w:ascii="Open Sans" w:hAnsi="Open Sans" w:cs="Open Sans"/>
          <w:sz w:val="20"/>
          <w:szCs w:val="20"/>
        </w:rPr>
        <w:t>se</w:t>
      </w:r>
      <w:r w:rsidR="00D9658A">
        <w:rPr>
          <w:rFonts w:ascii="Open Sans" w:hAnsi="Open Sans" w:cs="Open Sans"/>
          <w:sz w:val="20"/>
          <w:szCs w:val="20"/>
        </w:rPr>
        <w:t xml:space="preserve"> uporablja</w:t>
      </w:r>
      <w:r w:rsidR="001B5F6A">
        <w:rPr>
          <w:rFonts w:ascii="Open Sans" w:hAnsi="Open Sans" w:cs="Open Sans"/>
          <w:sz w:val="20"/>
          <w:szCs w:val="20"/>
        </w:rPr>
        <w:t>jo</w:t>
      </w:r>
      <w:r w:rsidR="00D9658A">
        <w:rPr>
          <w:rFonts w:ascii="Open Sans" w:hAnsi="Open Sans" w:cs="Open Sans"/>
          <w:sz w:val="20"/>
          <w:szCs w:val="20"/>
        </w:rPr>
        <w:t xml:space="preserve"> pri pripravi računovodskih izkazov</w:t>
      </w:r>
      <w:r>
        <w:rPr>
          <w:rFonts w:ascii="Open Sans" w:hAnsi="Open Sans" w:cs="Open Sans"/>
          <w:sz w:val="20"/>
          <w:szCs w:val="20"/>
        </w:rPr>
        <w:t>.</w:t>
      </w:r>
      <w:r w:rsidR="001A4A3C">
        <w:rPr>
          <w:rFonts w:ascii="Open Sans" w:hAnsi="Open Sans" w:cs="Open Sans"/>
          <w:sz w:val="20"/>
          <w:szCs w:val="20"/>
        </w:rPr>
        <w:t xml:space="preserve"> Na osnovi dodatne preveritve </w:t>
      </w:r>
      <w:r w:rsidR="001B5F6A">
        <w:rPr>
          <w:rFonts w:ascii="Open Sans" w:hAnsi="Open Sans" w:cs="Open Sans"/>
          <w:sz w:val="20"/>
          <w:szCs w:val="20"/>
        </w:rPr>
        <w:t xml:space="preserve">poslovodstvo </w:t>
      </w:r>
      <w:r w:rsidR="001A4A3C">
        <w:rPr>
          <w:rFonts w:ascii="Open Sans" w:hAnsi="Open Sans" w:cs="Open Sans"/>
          <w:sz w:val="20"/>
          <w:szCs w:val="20"/>
        </w:rPr>
        <w:t>ugotavlja, da spremembe usmeritev, ocen in predpostavk niso potrebne in da je tveganje nedelujočega podjetja nizko.</w:t>
      </w:r>
    </w:p>
    <w:p w14:paraId="1E1EBF02" w14:textId="77777777" w:rsidR="00E70F1E" w:rsidRPr="00532CD0" w:rsidRDefault="00E70F1E" w:rsidP="00413056">
      <w:pPr>
        <w:jc w:val="both"/>
        <w:rPr>
          <w:rFonts w:ascii="Open Sans" w:hAnsi="Open Sans" w:cs="Open Sans"/>
        </w:rPr>
      </w:pPr>
    </w:p>
    <w:p w14:paraId="2F03073E" w14:textId="0614226D" w:rsidR="00413056" w:rsidRPr="00992E71" w:rsidRDefault="00E824E1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Pojasnila k postavkam povzetka bilance stanja</w:t>
      </w:r>
    </w:p>
    <w:p w14:paraId="22399152" w14:textId="7FF1FA8C" w:rsidR="00B360C3" w:rsidRPr="00992E71" w:rsidRDefault="00F5368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opredmetenimi osnovnimi sredstvi</w:t>
      </w:r>
      <w:r w:rsidR="00B5103A">
        <w:rPr>
          <w:rFonts w:ascii="Open Sans" w:hAnsi="Open Sans" w:cs="Open Sans"/>
          <w:sz w:val="20"/>
          <w:szCs w:val="20"/>
        </w:rPr>
        <w:t xml:space="preserve"> in naložbenimi nepremičninami</w:t>
      </w:r>
      <w:r w:rsidR="000A63B3">
        <w:rPr>
          <w:rFonts w:ascii="Open Sans" w:hAnsi="Open Sans" w:cs="Open Sans"/>
          <w:sz w:val="20"/>
          <w:szCs w:val="20"/>
        </w:rPr>
        <w:t>, ki na dan 30.6</w:t>
      </w:r>
      <w:r w:rsidR="00682A6B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7C7492" w:rsidRPr="00992E71">
        <w:rPr>
          <w:rFonts w:ascii="Open Sans" w:hAnsi="Open Sans" w:cs="Open Sans"/>
          <w:sz w:val="20"/>
          <w:szCs w:val="20"/>
        </w:rPr>
        <w:t xml:space="preserve"> </w:t>
      </w:r>
      <w:r w:rsidR="00B5103A">
        <w:rPr>
          <w:rFonts w:ascii="Open Sans" w:hAnsi="Open Sans" w:cs="Open Sans"/>
          <w:sz w:val="20"/>
          <w:szCs w:val="20"/>
        </w:rPr>
        <w:t xml:space="preserve">skupaj </w:t>
      </w:r>
      <w:r w:rsidR="007C7492" w:rsidRPr="00992E71">
        <w:rPr>
          <w:rFonts w:ascii="Open Sans" w:hAnsi="Open Sans" w:cs="Open Sans"/>
          <w:sz w:val="20"/>
          <w:szCs w:val="20"/>
        </w:rPr>
        <w:t xml:space="preserve">znašajo </w:t>
      </w:r>
      <w:r w:rsidR="00E403F4">
        <w:rPr>
          <w:rFonts w:ascii="Open Sans" w:hAnsi="Open Sans" w:cs="Open Sans"/>
          <w:sz w:val="20"/>
          <w:szCs w:val="20"/>
        </w:rPr>
        <w:t>5.954.271</w:t>
      </w:r>
      <w:r w:rsidR="00941768">
        <w:rPr>
          <w:rFonts w:ascii="Open Sans" w:hAnsi="Open Sans" w:cs="Open Sans"/>
          <w:sz w:val="20"/>
          <w:szCs w:val="20"/>
        </w:rPr>
        <w:t xml:space="preserve"> </w:t>
      </w:r>
      <w:r w:rsidR="00682A6B">
        <w:rPr>
          <w:rFonts w:ascii="Open Sans" w:hAnsi="Open Sans" w:cs="Open Sans"/>
          <w:sz w:val="20"/>
          <w:szCs w:val="20"/>
        </w:rPr>
        <w:t>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7C7492" w:rsidRPr="00992E71">
        <w:rPr>
          <w:rFonts w:ascii="Open Sans" w:hAnsi="Open Sans" w:cs="Open Sans"/>
          <w:sz w:val="20"/>
          <w:szCs w:val="20"/>
        </w:rPr>
        <w:t xml:space="preserve">: </w:t>
      </w:r>
      <w:r w:rsidR="00E403F4">
        <w:rPr>
          <w:rFonts w:ascii="Open Sans" w:hAnsi="Open Sans" w:cs="Open Sans"/>
          <w:sz w:val="20"/>
          <w:szCs w:val="20"/>
        </w:rPr>
        <w:t>5.362.448</w:t>
      </w:r>
      <w:r w:rsidR="007C7492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družba izkazuje zemljišča, zgradbe in opremo</w:t>
      </w:r>
      <w:r w:rsidR="00DA0BC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namenjeno opravljanju poslovne dejavnosti</w:t>
      </w:r>
      <w:r w:rsidR="00E403F4">
        <w:rPr>
          <w:rFonts w:ascii="Open Sans" w:hAnsi="Open Sans" w:cs="Open Sans"/>
          <w:sz w:val="20"/>
          <w:szCs w:val="20"/>
        </w:rPr>
        <w:t>.</w:t>
      </w:r>
      <w:r w:rsidR="009936A9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 xml:space="preserve">Znesek opredmetenih osnovnih sredstev </w:t>
      </w:r>
      <w:r w:rsidR="00A43572">
        <w:rPr>
          <w:rFonts w:ascii="Open Sans" w:hAnsi="Open Sans" w:cs="Open Sans"/>
          <w:sz w:val="20"/>
          <w:szCs w:val="20"/>
        </w:rPr>
        <w:t xml:space="preserve">in naložbenih nepremičnin </w:t>
      </w:r>
      <w:r w:rsidRPr="00992E71">
        <w:rPr>
          <w:rFonts w:ascii="Open Sans" w:hAnsi="Open Sans" w:cs="Open Sans"/>
          <w:sz w:val="20"/>
          <w:szCs w:val="20"/>
        </w:rPr>
        <w:t xml:space="preserve">se je v primerjavi s preteklim bilančnim </w:t>
      </w:r>
      <w:r w:rsidRPr="00F002EC">
        <w:rPr>
          <w:rFonts w:ascii="Open Sans" w:hAnsi="Open Sans" w:cs="Open Sans"/>
          <w:sz w:val="20"/>
          <w:szCs w:val="20"/>
        </w:rPr>
        <w:t xml:space="preserve">datumom </w:t>
      </w:r>
      <w:r w:rsidR="00E403F4">
        <w:rPr>
          <w:rFonts w:ascii="Open Sans" w:hAnsi="Open Sans" w:cs="Open Sans"/>
          <w:sz w:val="20"/>
          <w:szCs w:val="20"/>
        </w:rPr>
        <w:t xml:space="preserve">povečal </w:t>
      </w:r>
      <w:r w:rsidR="008E28CA">
        <w:rPr>
          <w:rFonts w:ascii="Open Sans" w:hAnsi="Open Sans" w:cs="Open Sans"/>
          <w:sz w:val="20"/>
          <w:szCs w:val="20"/>
        </w:rPr>
        <w:t xml:space="preserve">za </w:t>
      </w:r>
      <w:r w:rsidR="00A43572" w:rsidRPr="00A43572">
        <w:rPr>
          <w:rFonts w:ascii="Open Sans" w:hAnsi="Open Sans" w:cs="Open Sans"/>
          <w:sz w:val="20"/>
          <w:szCs w:val="20"/>
        </w:rPr>
        <w:t>5</w:t>
      </w:r>
      <w:r w:rsidR="00E403F4">
        <w:rPr>
          <w:rFonts w:ascii="Open Sans" w:hAnsi="Open Sans" w:cs="Open Sans"/>
          <w:sz w:val="20"/>
          <w:szCs w:val="20"/>
        </w:rPr>
        <w:t>91.823</w:t>
      </w:r>
      <w:r w:rsidR="005D4388" w:rsidRPr="00F002EC">
        <w:rPr>
          <w:rFonts w:ascii="Open Sans" w:hAnsi="Open Sans" w:cs="Open Sans"/>
          <w:sz w:val="20"/>
          <w:szCs w:val="20"/>
        </w:rPr>
        <w:t xml:space="preserve"> </w:t>
      </w:r>
      <w:r w:rsidR="00863108" w:rsidRPr="00F002EC">
        <w:rPr>
          <w:rFonts w:ascii="Open Sans" w:hAnsi="Open Sans" w:cs="Open Sans"/>
          <w:sz w:val="20"/>
          <w:szCs w:val="20"/>
        </w:rPr>
        <w:t xml:space="preserve">EUR. </w:t>
      </w:r>
      <w:r w:rsidR="00F95668" w:rsidRPr="00F002EC">
        <w:rPr>
          <w:rFonts w:ascii="Open Sans" w:hAnsi="Open Sans" w:cs="Open Sans"/>
          <w:sz w:val="20"/>
          <w:szCs w:val="20"/>
        </w:rPr>
        <w:t>Obračunana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amortizacij</w:t>
      </w:r>
      <w:r w:rsidR="00E403F4">
        <w:rPr>
          <w:rFonts w:ascii="Open Sans" w:hAnsi="Open Sans" w:cs="Open Sans"/>
          <w:sz w:val="20"/>
          <w:szCs w:val="20"/>
        </w:rPr>
        <w:t>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F95668" w:rsidRPr="00F002EC">
        <w:rPr>
          <w:rFonts w:ascii="Open Sans" w:hAnsi="Open Sans" w:cs="Open Sans"/>
          <w:sz w:val="20"/>
          <w:szCs w:val="20"/>
        </w:rPr>
        <w:t>v tem obdobju znaša</w:t>
      </w:r>
      <w:r w:rsidR="002A5F29">
        <w:rPr>
          <w:rFonts w:ascii="Open Sans" w:hAnsi="Open Sans" w:cs="Open Sans"/>
          <w:sz w:val="20"/>
          <w:szCs w:val="20"/>
        </w:rPr>
        <w:t xml:space="preserve"> </w:t>
      </w:r>
      <w:r w:rsidR="00E403F4">
        <w:rPr>
          <w:rFonts w:ascii="Open Sans" w:hAnsi="Open Sans" w:cs="Open Sans"/>
          <w:sz w:val="20"/>
          <w:szCs w:val="20"/>
        </w:rPr>
        <w:t>202.351</w:t>
      </w:r>
      <w:r w:rsidR="00F95668" w:rsidRPr="00F002EC">
        <w:rPr>
          <w:rFonts w:ascii="Open Sans" w:hAnsi="Open Sans" w:cs="Open Sans"/>
          <w:sz w:val="20"/>
          <w:szCs w:val="20"/>
        </w:rPr>
        <w:t xml:space="preserve"> EUR.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F95668" w:rsidRPr="00F002EC">
        <w:rPr>
          <w:rFonts w:ascii="Open Sans" w:hAnsi="Open Sans" w:cs="Open Sans"/>
          <w:sz w:val="20"/>
          <w:szCs w:val="20"/>
        </w:rPr>
        <w:t xml:space="preserve">Razliko predstavljajo nove </w:t>
      </w:r>
      <w:r w:rsidR="00A4331E">
        <w:rPr>
          <w:rFonts w:ascii="Open Sans" w:hAnsi="Open Sans" w:cs="Open Sans"/>
          <w:sz w:val="20"/>
          <w:szCs w:val="20"/>
        </w:rPr>
        <w:t>investicije</w:t>
      </w:r>
      <w:r w:rsidR="007A02D3">
        <w:rPr>
          <w:rFonts w:ascii="Open Sans" w:hAnsi="Open Sans" w:cs="Open Sans"/>
          <w:sz w:val="20"/>
          <w:szCs w:val="20"/>
        </w:rPr>
        <w:t>, zmanjšane za</w:t>
      </w:r>
      <w:r w:rsidR="00A41E79">
        <w:rPr>
          <w:rFonts w:ascii="Open Sans" w:hAnsi="Open Sans" w:cs="Open Sans"/>
          <w:sz w:val="20"/>
          <w:szCs w:val="20"/>
        </w:rPr>
        <w:t xml:space="preserve"> </w:t>
      </w:r>
      <w:r w:rsidR="007A02D3">
        <w:rPr>
          <w:rFonts w:ascii="Open Sans" w:hAnsi="Open Sans" w:cs="Open Sans"/>
          <w:sz w:val="20"/>
          <w:szCs w:val="20"/>
        </w:rPr>
        <w:t>odpise sredstev</w:t>
      </w:r>
      <w:r w:rsidR="002A5F29">
        <w:rPr>
          <w:rFonts w:ascii="Open Sans" w:hAnsi="Open Sans" w:cs="Open Sans"/>
          <w:sz w:val="20"/>
          <w:szCs w:val="20"/>
        </w:rPr>
        <w:t>.</w:t>
      </w:r>
    </w:p>
    <w:p w14:paraId="36AE07BD" w14:textId="686045A9" w:rsidR="00942E72" w:rsidRPr="00992E71" w:rsidRDefault="000C2999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dolgoročnimi finančnimi naložbami</w:t>
      </w:r>
      <w:r w:rsidR="00A1661F">
        <w:rPr>
          <w:rFonts w:ascii="Open Sans" w:hAnsi="Open Sans" w:cs="Open Sans"/>
          <w:sz w:val="20"/>
          <w:szCs w:val="20"/>
        </w:rPr>
        <w:t>, ki na dan 30</w:t>
      </w:r>
      <w:r w:rsidR="005F3D5D">
        <w:rPr>
          <w:rFonts w:ascii="Open Sans" w:hAnsi="Open Sans" w:cs="Open Sans"/>
          <w:sz w:val="20"/>
          <w:szCs w:val="20"/>
        </w:rPr>
        <w:t>.</w:t>
      </w:r>
      <w:r w:rsidR="00A1661F">
        <w:rPr>
          <w:rFonts w:ascii="Open Sans" w:hAnsi="Open Sans" w:cs="Open Sans"/>
          <w:sz w:val="20"/>
          <w:szCs w:val="20"/>
        </w:rPr>
        <w:t>6</w:t>
      </w:r>
      <w:r w:rsidR="00BF7DAA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DF17E6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E403F4">
        <w:rPr>
          <w:rFonts w:ascii="Open Sans" w:hAnsi="Open Sans" w:cs="Open Sans"/>
          <w:sz w:val="20"/>
          <w:szCs w:val="20"/>
        </w:rPr>
        <w:t>2.329.334</w:t>
      </w:r>
      <w:r w:rsidR="00BF7DAA">
        <w:rPr>
          <w:rFonts w:ascii="Open Sans" w:hAnsi="Open Sans" w:cs="Open Sans"/>
          <w:sz w:val="20"/>
          <w:szCs w:val="20"/>
        </w:rPr>
        <w:t xml:space="preserve"> EUR (3</w:t>
      </w:r>
      <w:r w:rsidR="00F06E10">
        <w:rPr>
          <w:rFonts w:ascii="Open Sans" w:hAnsi="Open Sans" w:cs="Open Sans"/>
          <w:sz w:val="20"/>
          <w:szCs w:val="20"/>
        </w:rPr>
        <w:t>1</w:t>
      </w:r>
      <w:r w:rsidR="00BF7DAA">
        <w:rPr>
          <w:rFonts w:ascii="Open Sans" w:hAnsi="Open Sans" w:cs="Open Sans"/>
          <w:sz w:val="20"/>
          <w:szCs w:val="20"/>
        </w:rPr>
        <w:t>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4B0B65">
        <w:rPr>
          <w:rFonts w:ascii="Open Sans" w:hAnsi="Open Sans" w:cs="Open Sans"/>
          <w:sz w:val="20"/>
          <w:szCs w:val="20"/>
        </w:rPr>
        <w:t xml:space="preserve">: </w:t>
      </w:r>
      <w:r w:rsidR="00E403F4">
        <w:rPr>
          <w:rFonts w:ascii="Open Sans" w:hAnsi="Open Sans" w:cs="Open Sans"/>
          <w:sz w:val="20"/>
          <w:szCs w:val="20"/>
        </w:rPr>
        <w:t>2.442.860</w:t>
      </w:r>
      <w:r w:rsidR="00DF17E6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</w:t>
      </w:r>
      <w:r w:rsidR="005A7EB8">
        <w:rPr>
          <w:rFonts w:ascii="Open Sans" w:hAnsi="Open Sans" w:cs="Open Sans"/>
          <w:sz w:val="20"/>
          <w:szCs w:val="20"/>
        </w:rPr>
        <w:t>užba izkazuje</w:t>
      </w:r>
      <w:r w:rsidR="00340865">
        <w:rPr>
          <w:rFonts w:ascii="Open Sans" w:hAnsi="Open Sans" w:cs="Open Sans"/>
          <w:sz w:val="20"/>
          <w:szCs w:val="20"/>
        </w:rPr>
        <w:t xml:space="preserve"> </w:t>
      </w:r>
      <w:r w:rsidR="00933AF9" w:rsidRPr="00992E71">
        <w:rPr>
          <w:rFonts w:ascii="Open Sans" w:hAnsi="Open Sans" w:cs="Open Sans"/>
          <w:sz w:val="20"/>
          <w:szCs w:val="20"/>
        </w:rPr>
        <w:t>naložbe v delnice</w:t>
      </w:r>
      <w:r w:rsidRPr="00992E71">
        <w:rPr>
          <w:rFonts w:ascii="Open Sans" w:hAnsi="Open Sans" w:cs="Open Sans"/>
          <w:sz w:val="20"/>
          <w:szCs w:val="20"/>
        </w:rPr>
        <w:t>, ki so razvrščene v skupino za prodajo razpoložljivih finančnih sre</w:t>
      </w:r>
      <w:r w:rsidR="00A13F8D" w:rsidRPr="00992E71">
        <w:rPr>
          <w:rFonts w:ascii="Open Sans" w:hAnsi="Open Sans" w:cs="Open Sans"/>
          <w:sz w:val="20"/>
          <w:szCs w:val="20"/>
        </w:rPr>
        <w:t>dstev in posledično vrednotene</w:t>
      </w:r>
      <w:r w:rsidRPr="00992E71">
        <w:rPr>
          <w:rFonts w:ascii="Open Sans" w:hAnsi="Open Sans" w:cs="Open Sans"/>
          <w:sz w:val="20"/>
          <w:szCs w:val="20"/>
        </w:rPr>
        <w:t xml:space="preserve"> po pošteni vrednosti prek kapitala.</w:t>
      </w:r>
      <w:r w:rsidR="00836DB1" w:rsidRPr="00992E71">
        <w:rPr>
          <w:rFonts w:ascii="Open Sans" w:hAnsi="Open Sans" w:cs="Open Sans"/>
          <w:sz w:val="20"/>
          <w:szCs w:val="20"/>
        </w:rPr>
        <w:t xml:space="preserve"> Transakcij z vrednostnimi papirji v ob</w:t>
      </w:r>
      <w:r w:rsidR="0068301D">
        <w:rPr>
          <w:rFonts w:ascii="Open Sans" w:hAnsi="Open Sans" w:cs="Open Sans"/>
          <w:sz w:val="20"/>
          <w:szCs w:val="20"/>
        </w:rPr>
        <w:t>dobju 1.1. do 3</w:t>
      </w:r>
      <w:r w:rsidR="00AA7614">
        <w:rPr>
          <w:rFonts w:ascii="Open Sans" w:hAnsi="Open Sans" w:cs="Open Sans"/>
          <w:sz w:val="20"/>
          <w:szCs w:val="20"/>
        </w:rPr>
        <w:t>0.6</w:t>
      </w:r>
      <w:r w:rsidR="00BF7DAA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D1474F" w:rsidRPr="00992E71">
        <w:rPr>
          <w:rFonts w:ascii="Open Sans" w:hAnsi="Open Sans" w:cs="Open Sans"/>
          <w:sz w:val="20"/>
          <w:szCs w:val="20"/>
        </w:rPr>
        <w:t xml:space="preserve"> ni bilo</w:t>
      </w:r>
      <w:r w:rsidR="00847285" w:rsidRPr="00992E71">
        <w:rPr>
          <w:rFonts w:ascii="Open Sans" w:hAnsi="Open Sans" w:cs="Open Sans"/>
          <w:sz w:val="20"/>
          <w:szCs w:val="20"/>
        </w:rPr>
        <w:t>, sprememba vrednosti</w:t>
      </w:r>
      <w:r w:rsidR="000A69A4" w:rsidRPr="00992E71">
        <w:rPr>
          <w:rFonts w:ascii="Open Sans" w:hAnsi="Open Sans" w:cs="Open Sans"/>
          <w:sz w:val="20"/>
          <w:szCs w:val="20"/>
        </w:rPr>
        <w:t xml:space="preserve"> </w:t>
      </w:r>
      <w:r w:rsidR="00A81283">
        <w:rPr>
          <w:rFonts w:ascii="Open Sans" w:hAnsi="Open Sans" w:cs="Open Sans"/>
          <w:sz w:val="20"/>
          <w:szCs w:val="20"/>
        </w:rPr>
        <w:t xml:space="preserve">delnic </w:t>
      </w:r>
      <w:r w:rsidR="00847285" w:rsidRPr="00992E71">
        <w:rPr>
          <w:rFonts w:ascii="Open Sans" w:hAnsi="Open Sans" w:cs="Open Sans"/>
          <w:sz w:val="20"/>
          <w:szCs w:val="20"/>
        </w:rPr>
        <w:t xml:space="preserve">je </w:t>
      </w:r>
      <w:r w:rsidR="0043260B" w:rsidRPr="00992E71">
        <w:rPr>
          <w:rFonts w:ascii="Open Sans" w:hAnsi="Open Sans" w:cs="Open Sans"/>
          <w:sz w:val="20"/>
          <w:szCs w:val="20"/>
        </w:rPr>
        <w:t xml:space="preserve">le </w:t>
      </w:r>
      <w:r w:rsidR="00847285" w:rsidRPr="00D55457">
        <w:rPr>
          <w:rFonts w:ascii="Open Sans" w:hAnsi="Open Sans" w:cs="Open Sans"/>
          <w:sz w:val="20"/>
          <w:szCs w:val="20"/>
        </w:rPr>
        <w:t>posledica</w:t>
      </w:r>
      <w:r w:rsidR="00F002EC" w:rsidRPr="00D55457">
        <w:rPr>
          <w:rFonts w:ascii="Open Sans" w:hAnsi="Open Sans" w:cs="Open Sans"/>
          <w:sz w:val="20"/>
          <w:szCs w:val="20"/>
        </w:rPr>
        <w:t xml:space="preserve"> </w:t>
      </w:r>
      <w:r w:rsidR="00B07FD4">
        <w:rPr>
          <w:rFonts w:ascii="Open Sans" w:hAnsi="Open Sans" w:cs="Open Sans"/>
          <w:sz w:val="20"/>
          <w:szCs w:val="20"/>
        </w:rPr>
        <w:t>spremembe</w:t>
      </w:r>
      <w:r w:rsidR="00847285" w:rsidRPr="00D55457">
        <w:rPr>
          <w:rFonts w:ascii="Open Sans" w:hAnsi="Open Sans" w:cs="Open Sans"/>
          <w:sz w:val="20"/>
          <w:szCs w:val="20"/>
        </w:rPr>
        <w:t xml:space="preserve"> tržnih </w:t>
      </w:r>
      <w:r w:rsidR="00847285" w:rsidRPr="00992E71">
        <w:rPr>
          <w:rFonts w:ascii="Open Sans" w:hAnsi="Open Sans" w:cs="Open Sans"/>
          <w:sz w:val="20"/>
          <w:szCs w:val="20"/>
        </w:rPr>
        <w:t>cen vrednostnih papirjev</w:t>
      </w:r>
      <w:r w:rsidR="00D1474F" w:rsidRPr="00992E71">
        <w:rPr>
          <w:rFonts w:ascii="Open Sans" w:hAnsi="Open Sans" w:cs="Open Sans"/>
          <w:sz w:val="20"/>
          <w:szCs w:val="20"/>
        </w:rPr>
        <w:t>.</w:t>
      </w:r>
      <w:r w:rsidR="00AA7614">
        <w:rPr>
          <w:rFonts w:ascii="Open Sans" w:hAnsi="Open Sans" w:cs="Open Sans"/>
          <w:sz w:val="20"/>
          <w:szCs w:val="20"/>
        </w:rPr>
        <w:t xml:space="preserve"> Poleg tega družba med dolgoročnimi finančnimi naložbami izkazuje še naložb</w:t>
      </w:r>
      <w:r w:rsidR="006F6315">
        <w:rPr>
          <w:rFonts w:ascii="Open Sans" w:hAnsi="Open Sans" w:cs="Open Sans"/>
          <w:sz w:val="20"/>
          <w:szCs w:val="20"/>
        </w:rPr>
        <w:t>o</w:t>
      </w:r>
      <w:r w:rsidR="00AA7614">
        <w:rPr>
          <w:rFonts w:ascii="Open Sans" w:hAnsi="Open Sans" w:cs="Open Sans"/>
          <w:sz w:val="20"/>
          <w:szCs w:val="20"/>
        </w:rPr>
        <w:t xml:space="preserve"> v odvisn</w:t>
      </w:r>
      <w:r w:rsidR="006F6315">
        <w:rPr>
          <w:rFonts w:ascii="Open Sans" w:hAnsi="Open Sans" w:cs="Open Sans"/>
          <w:sz w:val="20"/>
          <w:szCs w:val="20"/>
        </w:rPr>
        <w:t>o</w:t>
      </w:r>
      <w:r w:rsidR="00AA7614">
        <w:rPr>
          <w:rFonts w:ascii="Open Sans" w:hAnsi="Open Sans" w:cs="Open Sans"/>
          <w:sz w:val="20"/>
          <w:szCs w:val="20"/>
        </w:rPr>
        <w:t xml:space="preserve"> družb</w:t>
      </w:r>
      <w:r w:rsidR="006F6315">
        <w:rPr>
          <w:rFonts w:ascii="Open Sans" w:hAnsi="Open Sans" w:cs="Open Sans"/>
          <w:sz w:val="20"/>
          <w:szCs w:val="20"/>
        </w:rPr>
        <w:t>o</w:t>
      </w:r>
      <w:r w:rsidR="00AA7614">
        <w:rPr>
          <w:rFonts w:ascii="Open Sans" w:hAnsi="Open Sans" w:cs="Open Sans"/>
          <w:sz w:val="20"/>
          <w:szCs w:val="20"/>
        </w:rPr>
        <w:t xml:space="preserve"> NAMA IN d.o.o..</w:t>
      </w:r>
    </w:p>
    <w:p w14:paraId="4D6BAF1B" w14:textId="55CA98B9" w:rsidR="000A068D" w:rsidRPr="00992E71" w:rsidRDefault="007C749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Dolgoročne poslovne terjatve družbe</w:t>
      </w:r>
      <w:r w:rsidR="00BB05AD">
        <w:rPr>
          <w:rFonts w:ascii="Open Sans" w:hAnsi="Open Sans" w:cs="Open Sans"/>
          <w:sz w:val="20"/>
          <w:szCs w:val="20"/>
        </w:rPr>
        <w:t xml:space="preserve"> na dan 30.6</w:t>
      </w:r>
      <w:r w:rsidR="001E0630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0A068D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681AB0">
        <w:rPr>
          <w:rFonts w:ascii="Open Sans" w:hAnsi="Open Sans" w:cs="Open Sans"/>
          <w:sz w:val="20"/>
          <w:szCs w:val="20"/>
        </w:rPr>
        <w:t>18.458</w:t>
      </w:r>
      <w:r w:rsidR="001E0630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0A068D" w:rsidRPr="00992E71">
        <w:rPr>
          <w:rFonts w:ascii="Open Sans" w:hAnsi="Open Sans" w:cs="Open Sans"/>
          <w:sz w:val="20"/>
          <w:szCs w:val="20"/>
        </w:rPr>
        <w:t xml:space="preserve">: </w:t>
      </w:r>
      <w:r w:rsidR="00681AB0">
        <w:rPr>
          <w:rFonts w:ascii="Open Sans" w:hAnsi="Open Sans" w:cs="Open Sans"/>
          <w:sz w:val="20"/>
          <w:szCs w:val="20"/>
        </w:rPr>
        <w:t>17.631</w:t>
      </w:r>
      <w:r w:rsidR="000A068D" w:rsidRPr="00992E71">
        <w:rPr>
          <w:rFonts w:ascii="Open Sans" w:hAnsi="Open Sans" w:cs="Open Sans"/>
          <w:sz w:val="20"/>
          <w:szCs w:val="20"/>
        </w:rPr>
        <w:t xml:space="preserve"> EUR). Nanašajo se </w:t>
      </w:r>
      <w:r w:rsidR="00681AB0">
        <w:rPr>
          <w:rFonts w:ascii="Open Sans" w:hAnsi="Open Sans" w:cs="Open Sans"/>
          <w:sz w:val="20"/>
          <w:szCs w:val="20"/>
        </w:rPr>
        <w:t>na vplačila v rezervni sklad</w:t>
      </w:r>
      <w:r w:rsidR="000A068D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4F92CC9E" w14:textId="2F91B9DA" w:rsidR="00084912" w:rsidRPr="00992E71" w:rsidRDefault="00041127" w:rsidP="00A37D3A">
      <w:pPr>
        <w:jc w:val="both"/>
        <w:rPr>
          <w:rFonts w:ascii="Open Sans" w:hAnsi="Open Sans" w:cs="Open Sans"/>
          <w:sz w:val="20"/>
          <w:szCs w:val="20"/>
        </w:rPr>
      </w:pPr>
      <w:r w:rsidRPr="00FE3DC6">
        <w:rPr>
          <w:rFonts w:ascii="Open Sans" w:hAnsi="Open Sans" w:cs="Open Sans"/>
          <w:sz w:val="20"/>
          <w:szCs w:val="20"/>
        </w:rPr>
        <w:lastRenderedPageBreak/>
        <w:t>Kratkoročne fin</w:t>
      </w:r>
      <w:r w:rsidR="00B91D89">
        <w:rPr>
          <w:rFonts w:ascii="Open Sans" w:hAnsi="Open Sans" w:cs="Open Sans"/>
          <w:sz w:val="20"/>
          <w:szCs w:val="20"/>
        </w:rPr>
        <w:t>ančne naložbe družbe na dan 30.6</w:t>
      </w:r>
      <w:r w:rsidR="00E55189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FE3DC6">
        <w:rPr>
          <w:rFonts w:ascii="Open Sans" w:hAnsi="Open Sans" w:cs="Open Sans"/>
          <w:sz w:val="20"/>
          <w:szCs w:val="20"/>
        </w:rPr>
        <w:t xml:space="preserve"> znašajo </w:t>
      </w:r>
      <w:r w:rsidR="00F13AFB">
        <w:rPr>
          <w:rFonts w:ascii="Open Sans" w:hAnsi="Open Sans" w:cs="Open Sans"/>
          <w:sz w:val="20"/>
          <w:szCs w:val="20"/>
        </w:rPr>
        <w:t>1.362.757</w:t>
      </w:r>
      <w:r w:rsidR="00E55189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FE3DC6">
        <w:rPr>
          <w:rFonts w:ascii="Open Sans" w:hAnsi="Open Sans" w:cs="Open Sans"/>
          <w:sz w:val="20"/>
          <w:szCs w:val="20"/>
        </w:rPr>
        <w:t xml:space="preserve">: </w:t>
      </w:r>
      <w:r w:rsidR="00E55189">
        <w:rPr>
          <w:rFonts w:ascii="Open Sans" w:hAnsi="Open Sans" w:cs="Open Sans"/>
          <w:sz w:val="20"/>
          <w:szCs w:val="20"/>
        </w:rPr>
        <w:t>1.</w:t>
      </w:r>
      <w:r w:rsidR="00F13AFB">
        <w:rPr>
          <w:rFonts w:ascii="Open Sans" w:hAnsi="Open Sans" w:cs="Open Sans"/>
          <w:sz w:val="20"/>
          <w:szCs w:val="20"/>
        </w:rPr>
        <w:t>368.208</w:t>
      </w:r>
      <w:r w:rsidR="00730074" w:rsidRPr="00FE3DC6">
        <w:rPr>
          <w:rFonts w:ascii="Open Sans" w:hAnsi="Open Sans" w:cs="Open Sans"/>
          <w:sz w:val="20"/>
          <w:szCs w:val="20"/>
        </w:rPr>
        <w:t xml:space="preserve"> </w:t>
      </w:r>
      <w:r w:rsidRPr="00FE3DC6">
        <w:rPr>
          <w:rFonts w:ascii="Open Sans" w:hAnsi="Open Sans" w:cs="Open Sans"/>
          <w:sz w:val="20"/>
          <w:szCs w:val="20"/>
        </w:rPr>
        <w:t>EUR)</w:t>
      </w:r>
      <w:r w:rsidR="00730074" w:rsidRPr="00FE3DC6">
        <w:rPr>
          <w:rFonts w:ascii="Open Sans" w:hAnsi="Open Sans" w:cs="Open Sans"/>
          <w:sz w:val="20"/>
          <w:szCs w:val="20"/>
        </w:rPr>
        <w:t xml:space="preserve"> in</w:t>
      </w:r>
      <w:r w:rsidRPr="00FE3DC6">
        <w:rPr>
          <w:rFonts w:ascii="Open Sans" w:hAnsi="Open Sans" w:cs="Open Sans"/>
          <w:sz w:val="20"/>
          <w:szCs w:val="20"/>
        </w:rPr>
        <w:t xml:space="preserve"> </w:t>
      </w:r>
      <w:r w:rsidR="00730074" w:rsidRPr="00FE3DC6">
        <w:rPr>
          <w:rFonts w:ascii="Open Sans" w:hAnsi="Open Sans" w:cs="Open Sans"/>
          <w:sz w:val="20"/>
          <w:szCs w:val="20"/>
        </w:rPr>
        <w:t xml:space="preserve">se </w:t>
      </w:r>
      <w:r w:rsidRPr="00FE3DC6">
        <w:rPr>
          <w:rFonts w:ascii="Open Sans" w:hAnsi="Open Sans" w:cs="Open Sans"/>
          <w:sz w:val="20"/>
          <w:szCs w:val="20"/>
        </w:rPr>
        <w:t>nanaša</w:t>
      </w:r>
      <w:r w:rsidR="00730074" w:rsidRPr="00FE3DC6">
        <w:rPr>
          <w:rFonts w:ascii="Open Sans" w:hAnsi="Open Sans" w:cs="Open Sans"/>
          <w:sz w:val="20"/>
          <w:szCs w:val="20"/>
        </w:rPr>
        <w:t>jo</w:t>
      </w:r>
      <w:r w:rsidR="00C1790C" w:rsidRPr="00FE3DC6">
        <w:rPr>
          <w:rFonts w:ascii="Open Sans" w:hAnsi="Open Sans" w:cs="Open Sans"/>
          <w:sz w:val="20"/>
          <w:szCs w:val="20"/>
        </w:rPr>
        <w:t xml:space="preserve"> na</w:t>
      </w:r>
      <w:r w:rsidRPr="00FE3DC6">
        <w:rPr>
          <w:rFonts w:ascii="Open Sans" w:hAnsi="Open Sans" w:cs="Open Sans"/>
          <w:sz w:val="20"/>
          <w:szCs w:val="20"/>
        </w:rPr>
        <w:t xml:space="preserve"> naložbe v </w:t>
      </w:r>
      <w:r w:rsidR="00132B61" w:rsidRPr="00FE3DC6">
        <w:rPr>
          <w:rFonts w:ascii="Open Sans" w:hAnsi="Open Sans" w:cs="Open Sans"/>
          <w:sz w:val="20"/>
          <w:szCs w:val="20"/>
        </w:rPr>
        <w:t>vzajemne sklade</w:t>
      </w:r>
      <w:r w:rsidR="00730074">
        <w:rPr>
          <w:rFonts w:ascii="Open Sans" w:hAnsi="Open Sans" w:cs="Open Sans"/>
          <w:sz w:val="20"/>
          <w:szCs w:val="20"/>
        </w:rPr>
        <w:t>.</w:t>
      </w:r>
      <w:r w:rsidR="003555ED" w:rsidRPr="00992E71">
        <w:rPr>
          <w:rFonts w:ascii="Open Sans" w:hAnsi="Open Sans" w:cs="Open Sans"/>
          <w:sz w:val="20"/>
          <w:szCs w:val="20"/>
        </w:rPr>
        <w:t xml:space="preserve"> </w:t>
      </w:r>
      <w:r w:rsidR="00132B61" w:rsidRPr="00992E71">
        <w:rPr>
          <w:rFonts w:ascii="Open Sans" w:hAnsi="Open Sans" w:cs="Open Sans"/>
          <w:sz w:val="20"/>
          <w:szCs w:val="20"/>
        </w:rPr>
        <w:t>Naložbe v vzajem</w:t>
      </w:r>
      <w:r w:rsidR="00677A01">
        <w:rPr>
          <w:rFonts w:ascii="Open Sans" w:hAnsi="Open Sans" w:cs="Open Sans"/>
          <w:sz w:val="20"/>
          <w:szCs w:val="20"/>
        </w:rPr>
        <w:t>ne sklade se v skladu s SRS 2019</w:t>
      </w:r>
      <w:r w:rsidR="00132B61" w:rsidRPr="00992E71">
        <w:rPr>
          <w:rFonts w:ascii="Open Sans" w:hAnsi="Open Sans" w:cs="Open Sans"/>
          <w:sz w:val="20"/>
          <w:szCs w:val="20"/>
        </w:rPr>
        <w:t xml:space="preserve"> razvrščajo v skupino za prodajo razpoložljivih finančnih sredstev in se vrednotijo po pošteni vrednosti prek kapitala. </w:t>
      </w:r>
    </w:p>
    <w:p w14:paraId="4DC0BA64" w14:textId="3D13803F" w:rsidR="00804F64" w:rsidRPr="00C467A8" w:rsidRDefault="00BA441A" w:rsidP="00A37D3A">
      <w:pPr>
        <w:jc w:val="both"/>
        <w:rPr>
          <w:rFonts w:ascii="Open Sans" w:hAnsi="Open Sans" w:cs="Open Sans"/>
          <w:sz w:val="20"/>
          <w:szCs w:val="20"/>
        </w:rPr>
      </w:pPr>
      <w:r w:rsidRPr="00C467A8">
        <w:rPr>
          <w:rFonts w:ascii="Open Sans" w:hAnsi="Open Sans" w:cs="Open Sans"/>
          <w:sz w:val="20"/>
          <w:szCs w:val="20"/>
        </w:rPr>
        <w:t>Med kratkoročnimi poslo</w:t>
      </w:r>
      <w:r w:rsidR="00250BFE">
        <w:rPr>
          <w:rFonts w:ascii="Open Sans" w:hAnsi="Open Sans" w:cs="Open Sans"/>
          <w:sz w:val="20"/>
          <w:szCs w:val="20"/>
        </w:rPr>
        <w:t>vnimi terjatvami, ki na dan 30.6</w:t>
      </w:r>
      <w:r w:rsidR="007A39D4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C467A8">
        <w:rPr>
          <w:rFonts w:ascii="Open Sans" w:hAnsi="Open Sans" w:cs="Open Sans"/>
          <w:sz w:val="20"/>
          <w:szCs w:val="20"/>
        </w:rPr>
        <w:t xml:space="preserve"> znašajo</w:t>
      </w:r>
      <w:r w:rsidR="00FF6721" w:rsidRPr="00C467A8">
        <w:rPr>
          <w:rFonts w:ascii="Open Sans" w:hAnsi="Open Sans" w:cs="Open Sans"/>
          <w:sz w:val="20"/>
          <w:szCs w:val="20"/>
        </w:rPr>
        <w:t xml:space="preserve"> </w:t>
      </w:r>
      <w:r w:rsidR="00F13AFB">
        <w:rPr>
          <w:rFonts w:ascii="Open Sans" w:hAnsi="Open Sans" w:cs="Open Sans"/>
          <w:sz w:val="20"/>
          <w:szCs w:val="20"/>
        </w:rPr>
        <w:t>886.753</w:t>
      </w:r>
      <w:r w:rsidR="00FF6721" w:rsidRPr="00C467A8">
        <w:rPr>
          <w:rFonts w:ascii="Open Sans" w:hAnsi="Open Sans" w:cs="Open Sans"/>
          <w:sz w:val="20"/>
          <w:szCs w:val="20"/>
        </w:rPr>
        <w:t xml:space="preserve"> </w:t>
      </w:r>
      <w:r w:rsidR="007A39D4">
        <w:rPr>
          <w:rFonts w:ascii="Open Sans" w:hAnsi="Open Sans" w:cs="Open Sans"/>
          <w:sz w:val="20"/>
          <w:szCs w:val="20"/>
        </w:rPr>
        <w:t>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102110" w:rsidRPr="00C467A8">
        <w:rPr>
          <w:rFonts w:ascii="Open Sans" w:hAnsi="Open Sans" w:cs="Open Sans"/>
          <w:sz w:val="20"/>
          <w:szCs w:val="20"/>
        </w:rPr>
        <w:t xml:space="preserve">: </w:t>
      </w:r>
      <w:r w:rsidR="00F13AFB">
        <w:rPr>
          <w:rFonts w:ascii="Open Sans" w:hAnsi="Open Sans" w:cs="Open Sans"/>
          <w:sz w:val="20"/>
          <w:szCs w:val="20"/>
        </w:rPr>
        <w:t>295.895</w:t>
      </w:r>
      <w:r w:rsidR="00102110" w:rsidRPr="00C467A8">
        <w:rPr>
          <w:rFonts w:ascii="Open Sans" w:hAnsi="Open Sans" w:cs="Open Sans"/>
          <w:sz w:val="20"/>
          <w:szCs w:val="20"/>
        </w:rPr>
        <w:t xml:space="preserve"> EUR), </w:t>
      </w:r>
      <w:r w:rsidR="00640482" w:rsidRPr="00C467A8">
        <w:rPr>
          <w:rFonts w:ascii="Open Sans" w:hAnsi="Open Sans" w:cs="Open Sans"/>
          <w:sz w:val="20"/>
          <w:szCs w:val="20"/>
        </w:rPr>
        <w:t>pretežni del</w:t>
      </w:r>
      <w:r w:rsidR="00102110" w:rsidRPr="00C467A8">
        <w:rPr>
          <w:rFonts w:ascii="Open Sans" w:hAnsi="Open Sans" w:cs="Open Sans"/>
          <w:sz w:val="20"/>
          <w:szCs w:val="20"/>
        </w:rPr>
        <w:t xml:space="preserve"> predstavljajo terjatve do kupcev, ki na dan 3</w:t>
      </w:r>
      <w:r w:rsidR="00DF7FAE">
        <w:rPr>
          <w:rFonts w:ascii="Open Sans" w:hAnsi="Open Sans" w:cs="Open Sans"/>
          <w:sz w:val="20"/>
          <w:szCs w:val="20"/>
        </w:rPr>
        <w:t>0.6</w:t>
      </w:r>
      <w:r w:rsidR="007A39D4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102110" w:rsidRPr="00C467A8">
        <w:rPr>
          <w:rFonts w:ascii="Open Sans" w:hAnsi="Open Sans" w:cs="Open Sans"/>
          <w:sz w:val="20"/>
          <w:szCs w:val="20"/>
        </w:rPr>
        <w:t xml:space="preserve"> znašajo </w:t>
      </w:r>
      <w:r w:rsidR="00F13AFB">
        <w:rPr>
          <w:rFonts w:ascii="Open Sans" w:hAnsi="Open Sans" w:cs="Open Sans"/>
          <w:sz w:val="20"/>
          <w:szCs w:val="20"/>
        </w:rPr>
        <w:t>753.087</w:t>
      </w:r>
      <w:r w:rsidR="007A39D4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3F2037" w:rsidRPr="00C467A8">
        <w:rPr>
          <w:rFonts w:ascii="Open Sans" w:hAnsi="Open Sans" w:cs="Open Sans"/>
          <w:sz w:val="20"/>
          <w:szCs w:val="20"/>
        </w:rPr>
        <w:t xml:space="preserve">: </w:t>
      </w:r>
      <w:r w:rsidR="00F13AFB">
        <w:rPr>
          <w:rFonts w:ascii="Open Sans" w:hAnsi="Open Sans" w:cs="Open Sans"/>
          <w:sz w:val="20"/>
          <w:szCs w:val="20"/>
        </w:rPr>
        <w:t>287</w:t>
      </w:r>
      <w:r w:rsidR="00606E3C">
        <w:rPr>
          <w:rFonts w:ascii="Open Sans" w:hAnsi="Open Sans" w:cs="Open Sans"/>
          <w:sz w:val="20"/>
          <w:szCs w:val="20"/>
        </w:rPr>
        <w:t>.078</w:t>
      </w:r>
      <w:r w:rsidR="003F2037" w:rsidRPr="00C467A8">
        <w:rPr>
          <w:rFonts w:ascii="Open Sans" w:hAnsi="Open Sans" w:cs="Open Sans"/>
          <w:sz w:val="20"/>
          <w:szCs w:val="20"/>
        </w:rPr>
        <w:t xml:space="preserve"> </w:t>
      </w:r>
      <w:r w:rsidR="00102110" w:rsidRPr="00C467A8">
        <w:rPr>
          <w:rFonts w:ascii="Open Sans" w:hAnsi="Open Sans" w:cs="Open Sans"/>
          <w:sz w:val="20"/>
          <w:szCs w:val="20"/>
        </w:rPr>
        <w:t>EUR)</w:t>
      </w:r>
      <w:r w:rsidR="00034A61" w:rsidRPr="00C467A8">
        <w:rPr>
          <w:rFonts w:ascii="Open Sans" w:hAnsi="Open Sans" w:cs="Open Sans"/>
          <w:sz w:val="20"/>
          <w:szCs w:val="20"/>
        </w:rPr>
        <w:t xml:space="preserve">. </w:t>
      </w:r>
      <w:r w:rsidR="00606E3C">
        <w:rPr>
          <w:rFonts w:ascii="Open Sans" w:hAnsi="Open Sans" w:cs="Open Sans"/>
          <w:sz w:val="20"/>
          <w:szCs w:val="20"/>
        </w:rPr>
        <w:t xml:space="preserve">Terjatve do kupcev so višje predvsem zaradi povečanja </w:t>
      </w:r>
      <w:r w:rsidR="00585668">
        <w:rPr>
          <w:rFonts w:ascii="Open Sans" w:hAnsi="Open Sans" w:cs="Open Sans"/>
          <w:sz w:val="20"/>
          <w:szCs w:val="20"/>
        </w:rPr>
        <w:t xml:space="preserve">nezapadlih </w:t>
      </w:r>
      <w:r w:rsidR="00606E3C">
        <w:rPr>
          <w:rFonts w:ascii="Open Sans" w:hAnsi="Open Sans" w:cs="Open Sans"/>
          <w:sz w:val="20"/>
          <w:szCs w:val="20"/>
        </w:rPr>
        <w:t xml:space="preserve">terjatev iz naslova najemnin do povezanih </w:t>
      </w:r>
      <w:r w:rsidR="00585668">
        <w:rPr>
          <w:rFonts w:ascii="Open Sans" w:hAnsi="Open Sans" w:cs="Open Sans"/>
          <w:sz w:val="20"/>
          <w:szCs w:val="20"/>
        </w:rPr>
        <w:t>družb. Kratkoročne poslovne terjatve do drugih predstavljajo predvsem t</w:t>
      </w:r>
      <w:r w:rsidR="008C2D85" w:rsidRPr="00C467A8">
        <w:rPr>
          <w:rFonts w:ascii="Open Sans" w:hAnsi="Open Sans" w:cs="Open Sans"/>
          <w:sz w:val="20"/>
          <w:szCs w:val="20"/>
        </w:rPr>
        <w:t xml:space="preserve">erjatve </w:t>
      </w:r>
      <w:r w:rsidR="00585668">
        <w:rPr>
          <w:rFonts w:ascii="Open Sans" w:hAnsi="Open Sans" w:cs="Open Sans"/>
          <w:sz w:val="20"/>
          <w:szCs w:val="20"/>
        </w:rPr>
        <w:t>do države, ki</w:t>
      </w:r>
      <w:r w:rsidR="00DF7FAE">
        <w:rPr>
          <w:rFonts w:ascii="Open Sans" w:hAnsi="Open Sans" w:cs="Open Sans"/>
          <w:sz w:val="20"/>
          <w:szCs w:val="20"/>
        </w:rPr>
        <w:t xml:space="preserve"> na</w:t>
      </w:r>
      <w:r w:rsidR="00585668">
        <w:rPr>
          <w:rFonts w:ascii="Open Sans" w:hAnsi="Open Sans" w:cs="Open Sans"/>
          <w:sz w:val="20"/>
          <w:szCs w:val="20"/>
        </w:rPr>
        <w:t xml:space="preserve"> dan</w:t>
      </w:r>
      <w:r w:rsidR="00DF7FAE">
        <w:rPr>
          <w:rFonts w:ascii="Open Sans" w:hAnsi="Open Sans" w:cs="Open Sans"/>
          <w:sz w:val="20"/>
          <w:szCs w:val="20"/>
        </w:rPr>
        <w:t xml:space="preserve"> 30.6</w:t>
      </w:r>
      <w:r w:rsidR="007A39D4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B57673" w:rsidRPr="00C467A8">
        <w:rPr>
          <w:rFonts w:ascii="Open Sans" w:hAnsi="Open Sans" w:cs="Open Sans"/>
          <w:sz w:val="20"/>
          <w:szCs w:val="20"/>
        </w:rPr>
        <w:t xml:space="preserve"> znašajo </w:t>
      </w:r>
      <w:r w:rsidR="00585668">
        <w:rPr>
          <w:rFonts w:ascii="Open Sans" w:hAnsi="Open Sans" w:cs="Open Sans"/>
          <w:sz w:val="20"/>
          <w:szCs w:val="20"/>
        </w:rPr>
        <w:t>126.077</w:t>
      </w:r>
      <w:r w:rsidR="007A39D4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7A39D4">
        <w:rPr>
          <w:rFonts w:ascii="Open Sans" w:hAnsi="Open Sans" w:cs="Open Sans"/>
          <w:sz w:val="20"/>
          <w:szCs w:val="20"/>
        </w:rPr>
        <w:t xml:space="preserve">: </w:t>
      </w:r>
      <w:r w:rsidR="00585668">
        <w:rPr>
          <w:rFonts w:ascii="Open Sans" w:hAnsi="Open Sans" w:cs="Open Sans"/>
          <w:sz w:val="20"/>
          <w:szCs w:val="20"/>
        </w:rPr>
        <w:t>8.213</w:t>
      </w:r>
      <w:r w:rsidR="008C2D85" w:rsidRPr="00C467A8">
        <w:rPr>
          <w:rFonts w:ascii="Open Sans" w:hAnsi="Open Sans" w:cs="Open Sans"/>
          <w:sz w:val="20"/>
          <w:szCs w:val="20"/>
        </w:rPr>
        <w:t xml:space="preserve"> EUR)</w:t>
      </w:r>
      <w:r w:rsidR="00585668">
        <w:rPr>
          <w:rFonts w:ascii="Open Sans" w:hAnsi="Open Sans" w:cs="Open Sans"/>
          <w:sz w:val="20"/>
          <w:szCs w:val="20"/>
        </w:rPr>
        <w:t xml:space="preserve">. </w:t>
      </w:r>
      <w:r w:rsidR="00BF53BC">
        <w:rPr>
          <w:rFonts w:ascii="Open Sans" w:hAnsi="Open Sans" w:cs="Open Sans"/>
          <w:sz w:val="20"/>
          <w:szCs w:val="20"/>
        </w:rPr>
        <w:t>Povišanje terjatev do države je posledica višjih terjatev iz naslova davka od dohodka pravnih oseb v višini 115.240 EUR.</w:t>
      </w:r>
    </w:p>
    <w:p w14:paraId="74E14F28" w14:textId="1EC62292" w:rsidR="00346EBC" w:rsidRPr="00346EBC" w:rsidRDefault="00FD491C" w:rsidP="00A37D3A">
      <w:pPr>
        <w:jc w:val="both"/>
        <w:rPr>
          <w:rFonts w:ascii="Open Sans" w:hAnsi="Open Sans" w:cs="Open Sans"/>
        </w:rPr>
      </w:pPr>
      <w:r w:rsidRPr="000C3BAA">
        <w:rPr>
          <w:rFonts w:ascii="Open Sans" w:hAnsi="Open Sans" w:cs="Open Sans"/>
          <w:sz w:val="20"/>
          <w:szCs w:val="20"/>
        </w:rPr>
        <w:t>Kapital</w:t>
      </w:r>
      <w:r w:rsidRPr="00784AAC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družbe na</w:t>
      </w:r>
      <w:r w:rsidR="00601554">
        <w:rPr>
          <w:rFonts w:ascii="Open Sans" w:hAnsi="Open Sans" w:cs="Open Sans"/>
          <w:sz w:val="20"/>
          <w:szCs w:val="20"/>
        </w:rPr>
        <w:t xml:space="preserve"> </w:t>
      </w:r>
      <w:r w:rsidR="00840E85">
        <w:rPr>
          <w:rFonts w:ascii="Open Sans" w:hAnsi="Open Sans" w:cs="Open Sans"/>
          <w:sz w:val="20"/>
          <w:szCs w:val="20"/>
        </w:rPr>
        <w:t>30.6</w:t>
      </w:r>
      <w:r w:rsidR="002F3AF6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1E0FB2" w:rsidRPr="00992E71">
        <w:rPr>
          <w:rFonts w:ascii="Open Sans" w:hAnsi="Open Sans" w:cs="Open Sans"/>
          <w:sz w:val="20"/>
          <w:szCs w:val="20"/>
        </w:rPr>
        <w:t xml:space="preserve"> znaša </w:t>
      </w:r>
      <w:r w:rsidR="008A1AD3">
        <w:rPr>
          <w:rFonts w:ascii="Open Sans" w:hAnsi="Open Sans" w:cs="Open Sans"/>
          <w:sz w:val="20"/>
          <w:szCs w:val="20"/>
        </w:rPr>
        <w:t>10.828.963</w:t>
      </w:r>
      <w:r w:rsidR="002F3AF6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A644D1">
        <w:rPr>
          <w:rFonts w:ascii="Open Sans" w:hAnsi="Open Sans" w:cs="Open Sans"/>
          <w:sz w:val="20"/>
          <w:szCs w:val="20"/>
        </w:rPr>
        <w:t xml:space="preserve">: </w:t>
      </w:r>
      <w:r w:rsidR="008A1AD3">
        <w:rPr>
          <w:rFonts w:ascii="Open Sans" w:hAnsi="Open Sans" w:cs="Open Sans"/>
          <w:sz w:val="20"/>
          <w:szCs w:val="20"/>
        </w:rPr>
        <w:t>10.574.707</w:t>
      </w:r>
      <w:r>
        <w:rPr>
          <w:rFonts w:ascii="Open Sans" w:hAnsi="Open Sans" w:cs="Open Sans"/>
          <w:sz w:val="20"/>
          <w:szCs w:val="20"/>
        </w:rPr>
        <w:t xml:space="preserve"> EUR). Na njegovo višino</w:t>
      </w:r>
      <w:r w:rsidR="001E0FB2" w:rsidRPr="00992E71">
        <w:rPr>
          <w:rFonts w:ascii="Open Sans" w:hAnsi="Open Sans" w:cs="Open Sans"/>
          <w:sz w:val="20"/>
          <w:szCs w:val="20"/>
        </w:rPr>
        <w:t xml:space="preserve"> </w:t>
      </w:r>
      <w:r w:rsidR="000C3BAA">
        <w:rPr>
          <w:rFonts w:ascii="Open Sans" w:hAnsi="Open Sans" w:cs="Open Sans"/>
          <w:sz w:val="20"/>
          <w:szCs w:val="20"/>
        </w:rPr>
        <w:t>sta</w:t>
      </w:r>
      <w:r>
        <w:rPr>
          <w:rFonts w:ascii="Open Sans" w:hAnsi="Open Sans" w:cs="Open Sans"/>
          <w:sz w:val="20"/>
          <w:szCs w:val="20"/>
        </w:rPr>
        <w:t xml:space="preserve"> v </w:t>
      </w:r>
      <w:r w:rsidR="002F3AF6">
        <w:rPr>
          <w:rFonts w:ascii="Open Sans" w:hAnsi="Open Sans" w:cs="Open Sans"/>
          <w:sz w:val="20"/>
          <w:szCs w:val="20"/>
        </w:rPr>
        <w:t xml:space="preserve">prvih </w:t>
      </w:r>
      <w:r w:rsidR="00D8345C">
        <w:rPr>
          <w:rFonts w:ascii="Open Sans" w:hAnsi="Open Sans" w:cs="Open Sans"/>
          <w:sz w:val="20"/>
          <w:szCs w:val="20"/>
        </w:rPr>
        <w:t>šestih</w:t>
      </w:r>
      <w:r w:rsidR="00A00E7A">
        <w:rPr>
          <w:rFonts w:ascii="Open Sans" w:hAnsi="Open Sans" w:cs="Open Sans"/>
          <w:sz w:val="20"/>
          <w:szCs w:val="20"/>
        </w:rPr>
        <w:t xml:space="preserve"> mesecih</w:t>
      </w:r>
      <w:r w:rsidR="002F3AF6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601554">
        <w:rPr>
          <w:rFonts w:ascii="Open Sans" w:hAnsi="Open Sans" w:cs="Open Sans"/>
          <w:sz w:val="20"/>
          <w:szCs w:val="20"/>
        </w:rPr>
        <w:t xml:space="preserve"> vplival</w:t>
      </w:r>
      <w:r w:rsidR="000C3BAA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pripis</w:t>
      </w:r>
      <w:r w:rsidR="00031F3B">
        <w:rPr>
          <w:rFonts w:ascii="Open Sans" w:hAnsi="Open Sans" w:cs="Open Sans"/>
          <w:sz w:val="20"/>
          <w:szCs w:val="20"/>
        </w:rPr>
        <w:t xml:space="preserve"> </w:t>
      </w:r>
      <w:r w:rsidR="007E70F1">
        <w:rPr>
          <w:rFonts w:ascii="Open Sans" w:hAnsi="Open Sans" w:cs="Open Sans"/>
          <w:sz w:val="20"/>
          <w:szCs w:val="20"/>
        </w:rPr>
        <w:t>tekoče</w:t>
      </w:r>
      <w:r w:rsidR="00031F3B">
        <w:rPr>
          <w:rFonts w:ascii="Open Sans" w:hAnsi="Open Sans" w:cs="Open Sans"/>
          <w:sz w:val="20"/>
          <w:szCs w:val="20"/>
        </w:rPr>
        <w:t>ga</w:t>
      </w:r>
      <w:r w:rsidR="006F1D1F" w:rsidRPr="00992E71">
        <w:rPr>
          <w:rFonts w:ascii="Open Sans" w:hAnsi="Open Sans" w:cs="Open Sans"/>
          <w:sz w:val="20"/>
          <w:szCs w:val="20"/>
        </w:rPr>
        <w:t xml:space="preserve"> </w:t>
      </w:r>
      <w:r w:rsidR="00031F3B">
        <w:rPr>
          <w:rFonts w:ascii="Open Sans" w:hAnsi="Open Sans" w:cs="Open Sans"/>
          <w:sz w:val="20"/>
          <w:szCs w:val="20"/>
        </w:rPr>
        <w:t>dobička</w:t>
      </w:r>
      <w:r w:rsidR="00E46472">
        <w:rPr>
          <w:rFonts w:ascii="Open Sans" w:hAnsi="Open Sans" w:cs="Open Sans"/>
          <w:sz w:val="20"/>
          <w:szCs w:val="20"/>
        </w:rPr>
        <w:t xml:space="preserve"> v viš</w:t>
      </w:r>
      <w:r w:rsidR="00E46472" w:rsidRPr="0095496B">
        <w:rPr>
          <w:rFonts w:ascii="Open Sans" w:hAnsi="Open Sans" w:cs="Open Sans"/>
          <w:sz w:val="20"/>
          <w:szCs w:val="20"/>
        </w:rPr>
        <w:t xml:space="preserve">ini </w:t>
      </w:r>
      <w:r w:rsidR="006E60BC">
        <w:rPr>
          <w:rFonts w:ascii="Open Sans" w:hAnsi="Open Sans" w:cs="Open Sans"/>
          <w:sz w:val="20"/>
          <w:szCs w:val="20"/>
        </w:rPr>
        <w:t>5</w:t>
      </w:r>
      <w:r w:rsidR="006A31AC">
        <w:rPr>
          <w:rFonts w:ascii="Open Sans" w:hAnsi="Open Sans" w:cs="Open Sans"/>
          <w:sz w:val="20"/>
          <w:szCs w:val="20"/>
        </w:rPr>
        <w:t>12.761</w:t>
      </w:r>
      <w:r w:rsidR="006F1D1F" w:rsidRPr="00992E71">
        <w:rPr>
          <w:rFonts w:ascii="Open Sans" w:hAnsi="Open Sans" w:cs="Open Sans"/>
          <w:sz w:val="20"/>
          <w:szCs w:val="20"/>
        </w:rPr>
        <w:t>EUR</w:t>
      </w:r>
      <w:r w:rsidR="002E63A8">
        <w:rPr>
          <w:rFonts w:ascii="Open Sans" w:hAnsi="Open Sans" w:cs="Open Sans"/>
          <w:sz w:val="20"/>
          <w:szCs w:val="20"/>
        </w:rPr>
        <w:t>, izplačilo dividend v višini 162.134 EUR</w:t>
      </w:r>
      <w:r w:rsidR="000C3BAA">
        <w:rPr>
          <w:rFonts w:ascii="Open Sans" w:hAnsi="Open Sans" w:cs="Open Sans"/>
          <w:sz w:val="20"/>
          <w:szCs w:val="20"/>
        </w:rPr>
        <w:t xml:space="preserve"> in </w:t>
      </w:r>
      <w:r w:rsidR="006A31AC">
        <w:rPr>
          <w:rFonts w:ascii="Open Sans" w:hAnsi="Open Sans" w:cs="Open Sans"/>
          <w:sz w:val="20"/>
          <w:szCs w:val="20"/>
        </w:rPr>
        <w:t xml:space="preserve">zmanjšanje </w:t>
      </w:r>
      <w:r w:rsidR="007E70F1">
        <w:rPr>
          <w:rFonts w:ascii="Open Sans" w:hAnsi="Open Sans" w:cs="Open Sans"/>
          <w:sz w:val="20"/>
          <w:szCs w:val="20"/>
        </w:rPr>
        <w:t>rezerve, nastale zaradi vrednotenja finančnih naložb po pošteni vrednosti</w:t>
      </w:r>
      <w:r w:rsidR="000C3BAA">
        <w:rPr>
          <w:rFonts w:ascii="Open Sans" w:hAnsi="Open Sans" w:cs="Open Sans"/>
          <w:sz w:val="20"/>
          <w:szCs w:val="20"/>
        </w:rPr>
        <w:t xml:space="preserve"> v višini </w:t>
      </w:r>
      <w:r w:rsidR="006A31AC">
        <w:rPr>
          <w:rFonts w:ascii="Open Sans" w:hAnsi="Open Sans" w:cs="Open Sans"/>
          <w:sz w:val="20"/>
          <w:szCs w:val="20"/>
        </w:rPr>
        <w:t>96.372</w:t>
      </w:r>
      <w:r w:rsidR="000C3BAA">
        <w:rPr>
          <w:rFonts w:ascii="Open Sans" w:hAnsi="Open Sans" w:cs="Open Sans"/>
          <w:sz w:val="20"/>
          <w:szCs w:val="20"/>
        </w:rPr>
        <w:t xml:space="preserve"> EUR</w:t>
      </w:r>
      <w:r w:rsidR="006F1D1F" w:rsidRPr="00992E71">
        <w:rPr>
          <w:rFonts w:ascii="Open Sans" w:hAnsi="Open Sans" w:cs="Open Sans"/>
          <w:sz w:val="20"/>
          <w:szCs w:val="20"/>
        </w:rPr>
        <w:t>.</w:t>
      </w:r>
      <w:r w:rsidR="005774A2">
        <w:rPr>
          <w:rFonts w:ascii="Open Sans" w:hAnsi="Open Sans" w:cs="Open Sans"/>
          <w:sz w:val="20"/>
          <w:szCs w:val="20"/>
        </w:rPr>
        <w:t xml:space="preserve"> </w:t>
      </w:r>
    </w:p>
    <w:p w14:paraId="311990FC" w14:textId="7BC560F7" w:rsidR="007E4859" w:rsidRDefault="00610A16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rezervacijami in dolgoročnimi pasivnimi časovnimi razmejitvami</w:t>
      </w:r>
      <w:r w:rsidR="005810AA">
        <w:rPr>
          <w:rFonts w:ascii="Open Sans" w:hAnsi="Open Sans" w:cs="Open Sans"/>
          <w:sz w:val="20"/>
          <w:szCs w:val="20"/>
        </w:rPr>
        <w:t>, ki na dan 30.6</w:t>
      </w:r>
      <w:r w:rsidR="00A57CD6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7E4859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B66CDB">
        <w:rPr>
          <w:rFonts w:ascii="Open Sans" w:hAnsi="Open Sans" w:cs="Open Sans"/>
          <w:sz w:val="20"/>
          <w:szCs w:val="20"/>
        </w:rPr>
        <w:t>51.572</w:t>
      </w:r>
      <w:r w:rsidR="00A57CD6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B66CDB">
        <w:rPr>
          <w:rFonts w:ascii="Open Sans" w:hAnsi="Open Sans" w:cs="Open Sans"/>
          <w:sz w:val="20"/>
          <w:szCs w:val="20"/>
        </w:rPr>
        <w:t>56.782</w:t>
      </w:r>
      <w:r w:rsidRPr="00992E71">
        <w:rPr>
          <w:rFonts w:ascii="Open Sans" w:hAnsi="Open Sans" w:cs="Open Sans"/>
          <w:sz w:val="20"/>
          <w:szCs w:val="20"/>
        </w:rPr>
        <w:t xml:space="preserve"> EUR), družba izkazuje </w:t>
      </w:r>
      <w:r w:rsidR="00AC5A1F" w:rsidRPr="00992E71">
        <w:rPr>
          <w:rFonts w:ascii="Open Sans" w:hAnsi="Open Sans" w:cs="Open Sans"/>
          <w:sz w:val="20"/>
          <w:szCs w:val="20"/>
        </w:rPr>
        <w:t xml:space="preserve">za </w:t>
      </w:r>
      <w:r w:rsidR="00B66CDB">
        <w:rPr>
          <w:rFonts w:ascii="Open Sans" w:hAnsi="Open Sans" w:cs="Open Sans"/>
          <w:sz w:val="20"/>
          <w:szCs w:val="20"/>
        </w:rPr>
        <w:t>14.767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reze</w:t>
      </w:r>
      <w:r w:rsidR="00A57CD6">
        <w:rPr>
          <w:rFonts w:ascii="Open Sans" w:hAnsi="Open Sans" w:cs="Open Sans"/>
          <w:sz w:val="20"/>
          <w:szCs w:val="20"/>
        </w:rPr>
        <w:t>rvacij za zaposlence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AC5A1F" w:rsidRPr="00992E71">
        <w:rPr>
          <w:rFonts w:ascii="Open Sans" w:hAnsi="Open Sans" w:cs="Open Sans"/>
          <w:sz w:val="20"/>
          <w:szCs w:val="20"/>
        </w:rPr>
        <w:t xml:space="preserve">: </w:t>
      </w:r>
      <w:r w:rsidR="00B66CDB">
        <w:rPr>
          <w:rFonts w:ascii="Open Sans" w:hAnsi="Open Sans" w:cs="Open Sans"/>
          <w:sz w:val="20"/>
          <w:szCs w:val="20"/>
        </w:rPr>
        <w:t>14.767</w:t>
      </w:r>
      <w:r w:rsidR="00574CE1">
        <w:rPr>
          <w:rFonts w:ascii="Open Sans" w:hAnsi="Open Sans" w:cs="Open Sans"/>
          <w:sz w:val="20"/>
          <w:szCs w:val="20"/>
        </w:rPr>
        <w:t xml:space="preserve"> EUR) </w:t>
      </w:r>
      <w:r w:rsidR="00B66CDB">
        <w:rPr>
          <w:rFonts w:ascii="Open Sans" w:hAnsi="Open Sans" w:cs="Open Sans"/>
          <w:sz w:val="20"/>
          <w:szCs w:val="20"/>
        </w:rPr>
        <w:t>in</w:t>
      </w:r>
      <w:r w:rsidR="00574CE1">
        <w:rPr>
          <w:rFonts w:ascii="Open Sans" w:hAnsi="Open Sans" w:cs="Open Sans"/>
          <w:sz w:val="20"/>
          <w:szCs w:val="20"/>
        </w:rPr>
        <w:t xml:space="preserve"> za </w:t>
      </w:r>
      <w:r w:rsidR="00B66CDB">
        <w:rPr>
          <w:rFonts w:ascii="Open Sans" w:hAnsi="Open Sans" w:cs="Open Sans"/>
          <w:sz w:val="20"/>
          <w:szCs w:val="20"/>
        </w:rPr>
        <w:t>36.805</w:t>
      </w:r>
      <w:r w:rsidR="00A740B0">
        <w:rPr>
          <w:rFonts w:ascii="Open Sans" w:hAnsi="Open Sans" w:cs="Open Sans"/>
          <w:sz w:val="20"/>
          <w:szCs w:val="20"/>
        </w:rPr>
        <w:t xml:space="preserve"> </w:t>
      </w:r>
      <w:r w:rsidR="004F142B">
        <w:rPr>
          <w:rFonts w:ascii="Open Sans" w:hAnsi="Open Sans" w:cs="Open Sans"/>
          <w:sz w:val="20"/>
          <w:szCs w:val="20"/>
        </w:rPr>
        <w:t>EUR dolgoročno razmejenih prihodko</w:t>
      </w:r>
      <w:r w:rsidR="00A57CD6">
        <w:rPr>
          <w:rFonts w:ascii="Open Sans" w:hAnsi="Open Sans" w:cs="Open Sans"/>
          <w:sz w:val="20"/>
          <w:szCs w:val="20"/>
        </w:rPr>
        <w:t>v od subvencij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A57CD6">
        <w:rPr>
          <w:rFonts w:ascii="Open Sans" w:hAnsi="Open Sans" w:cs="Open Sans"/>
          <w:sz w:val="20"/>
          <w:szCs w:val="20"/>
        </w:rPr>
        <w:t xml:space="preserve">: </w:t>
      </w:r>
      <w:r w:rsidR="00B66CDB">
        <w:rPr>
          <w:rFonts w:ascii="Open Sans" w:hAnsi="Open Sans" w:cs="Open Sans"/>
          <w:sz w:val="20"/>
          <w:szCs w:val="20"/>
        </w:rPr>
        <w:t>42.015</w:t>
      </w:r>
      <w:r w:rsidR="004F142B">
        <w:rPr>
          <w:rFonts w:ascii="Open Sans" w:hAnsi="Open Sans" w:cs="Open Sans"/>
          <w:sz w:val="20"/>
          <w:szCs w:val="20"/>
        </w:rPr>
        <w:t xml:space="preserve"> EUR)</w:t>
      </w:r>
      <w:r w:rsidR="00AC5A1F" w:rsidRPr="00992E71">
        <w:rPr>
          <w:rFonts w:ascii="Open Sans" w:hAnsi="Open Sans" w:cs="Open Sans"/>
          <w:sz w:val="20"/>
          <w:szCs w:val="20"/>
        </w:rPr>
        <w:t>.</w:t>
      </w:r>
      <w:r w:rsidR="00575791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5A90D342" w14:textId="514138BA" w:rsidR="009B4952" w:rsidRPr="00C17044" w:rsidRDefault="0037320A" w:rsidP="00A37D3A">
      <w:pPr>
        <w:jc w:val="both"/>
        <w:rPr>
          <w:rFonts w:ascii="Open Sans" w:hAnsi="Open Sans" w:cs="Open Sans"/>
          <w:color w:val="FF0000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kratkoročnimi poslovni</w:t>
      </w:r>
      <w:r w:rsidR="00E2583D">
        <w:rPr>
          <w:rFonts w:ascii="Open Sans" w:hAnsi="Open Sans" w:cs="Open Sans"/>
          <w:sz w:val="20"/>
          <w:szCs w:val="20"/>
        </w:rPr>
        <w:t xml:space="preserve">mi obveznostmi, ki na dan </w:t>
      </w:r>
      <w:r w:rsidR="00364023">
        <w:rPr>
          <w:rFonts w:ascii="Open Sans" w:hAnsi="Open Sans" w:cs="Open Sans"/>
          <w:sz w:val="20"/>
          <w:szCs w:val="20"/>
        </w:rPr>
        <w:t>30.6</w:t>
      </w:r>
      <w:r w:rsidR="005A5F78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A572A6">
        <w:rPr>
          <w:rFonts w:ascii="Open Sans" w:hAnsi="Open Sans" w:cs="Open Sans"/>
          <w:sz w:val="20"/>
          <w:szCs w:val="20"/>
        </w:rPr>
        <w:t xml:space="preserve"> znašajo </w:t>
      </w:r>
      <w:r w:rsidR="00301410">
        <w:rPr>
          <w:rFonts w:ascii="Open Sans" w:hAnsi="Open Sans" w:cs="Open Sans"/>
          <w:sz w:val="20"/>
          <w:szCs w:val="20"/>
        </w:rPr>
        <w:t>323.752</w:t>
      </w:r>
      <w:r w:rsidR="00A572A6">
        <w:rPr>
          <w:rFonts w:ascii="Open Sans" w:hAnsi="Open Sans" w:cs="Open Sans"/>
          <w:sz w:val="20"/>
          <w:szCs w:val="20"/>
        </w:rPr>
        <w:t xml:space="preserve"> </w:t>
      </w:r>
      <w:r w:rsidR="005A5F78">
        <w:rPr>
          <w:rFonts w:ascii="Open Sans" w:hAnsi="Open Sans" w:cs="Open Sans"/>
          <w:sz w:val="20"/>
          <w:szCs w:val="20"/>
        </w:rPr>
        <w:t>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301410">
        <w:rPr>
          <w:rFonts w:ascii="Open Sans" w:hAnsi="Open Sans" w:cs="Open Sans"/>
          <w:sz w:val="20"/>
          <w:szCs w:val="20"/>
        </w:rPr>
        <w:t>696.289</w:t>
      </w:r>
      <w:r w:rsidRPr="00992E71">
        <w:rPr>
          <w:rFonts w:ascii="Open Sans" w:hAnsi="Open Sans" w:cs="Open Sans"/>
          <w:sz w:val="20"/>
          <w:szCs w:val="20"/>
        </w:rPr>
        <w:t xml:space="preserve"> EUR), največji delež predstavljajo obveznosti do dobaviteljev</w:t>
      </w:r>
      <w:r w:rsidR="00364023">
        <w:rPr>
          <w:rFonts w:ascii="Open Sans" w:hAnsi="Open Sans" w:cs="Open Sans"/>
          <w:sz w:val="20"/>
          <w:szCs w:val="20"/>
        </w:rPr>
        <w:t>, ki na 30.6</w:t>
      </w:r>
      <w:r w:rsidR="005A5F78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6336D1" w:rsidRPr="00992E71">
        <w:rPr>
          <w:rFonts w:ascii="Open Sans" w:hAnsi="Open Sans" w:cs="Open Sans"/>
          <w:sz w:val="20"/>
          <w:szCs w:val="20"/>
        </w:rPr>
        <w:t xml:space="preserve"> </w:t>
      </w:r>
      <w:r w:rsidR="00553E4E" w:rsidRPr="00992E71">
        <w:rPr>
          <w:rFonts w:ascii="Open Sans" w:hAnsi="Open Sans" w:cs="Open Sans"/>
          <w:sz w:val="20"/>
          <w:szCs w:val="20"/>
        </w:rPr>
        <w:t xml:space="preserve">znašajo </w:t>
      </w:r>
      <w:r w:rsidR="00301410">
        <w:rPr>
          <w:rFonts w:ascii="Open Sans" w:hAnsi="Open Sans" w:cs="Open Sans"/>
          <w:sz w:val="20"/>
          <w:szCs w:val="20"/>
        </w:rPr>
        <w:t>124.835</w:t>
      </w:r>
      <w:r w:rsidR="005A5F78">
        <w:rPr>
          <w:rFonts w:ascii="Open Sans" w:hAnsi="Open Sans" w:cs="Open Sans"/>
          <w:sz w:val="20"/>
          <w:szCs w:val="20"/>
        </w:rPr>
        <w:t xml:space="preserve"> EUR (31.12.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553E4E" w:rsidRPr="00992E71">
        <w:rPr>
          <w:rFonts w:ascii="Open Sans" w:hAnsi="Open Sans" w:cs="Open Sans"/>
          <w:sz w:val="20"/>
          <w:szCs w:val="20"/>
        </w:rPr>
        <w:t xml:space="preserve">: </w:t>
      </w:r>
      <w:r w:rsidR="00301410">
        <w:rPr>
          <w:rFonts w:ascii="Open Sans" w:hAnsi="Open Sans" w:cs="Open Sans"/>
          <w:sz w:val="20"/>
          <w:szCs w:val="20"/>
        </w:rPr>
        <w:t>204.053</w:t>
      </w:r>
      <w:r w:rsidR="00553E4E" w:rsidRPr="00992E71">
        <w:rPr>
          <w:rFonts w:ascii="Open Sans" w:hAnsi="Open Sans" w:cs="Open Sans"/>
          <w:sz w:val="20"/>
          <w:szCs w:val="20"/>
        </w:rPr>
        <w:t xml:space="preserve"> EUR)</w:t>
      </w:r>
      <w:r w:rsidR="00301410">
        <w:rPr>
          <w:rFonts w:ascii="Open Sans" w:hAnsi="Open Sans" w:cs="Open Sans"/>
          <w:sz w:val="20"/>
          <w:szCs w:val="20"/>
        </w:rPr>
        <w:t xml:space="preserve"> in druge kratkoročne poslovne obveznosti, ki na dan 30.6.2022 znašajo 128.385 EUR</w:t>
      </w:r>
      <w:r w:rsidR="00B578FC">
        <w:rPr>
          <w:rFonts w:ascii="Open Sans" w:hAnsi="Open Sans" w:cs="Open Sans"/>
          <w:sz w:val="20"/>
          <w:szCs w:val="20"/>
        </w:rPr>
        <w:t xml:space="preserve"> </w:t>
      </w:r>
      <w:r w:rsidR="00301410">
        <w:rPr>
          <w:rFonts w:ascii="Open Sans" w:hAnsi="Open Sans" w:cs="Open Sans"/>
          <w:sz w:val="20"/>
          <w:szCs w:val="20"/>
        </w:rPr>
        <w:t>(31.12.2021</w:t>
      </w:r>
      <w:r w:rsidR="00301410" w:rsidRPr="00992E71">
        <w:rPr>
          <w:rFonts w:ascii="Open Sans" w:hAnsi="Open Sans" w:cs="Open Sans"/>
          <w:sz w:val="20"/>
          <w:szCs w:val="20"/>
        </w:rPr>
        <w:t xml:space="preserve">: </w:t>
      </w:r>
      <w:r w:rsidR="00301410">
        <w:rPr>
          <w:rFonts w:ascii="Open Sans" w:hAnsi="Open Sans" w:cs="Open Sans"/>
          <w:sz w:val="20"/>
          <w:szCs w:val="20"/>
        </w:rPr>
        <w:t>394.709</w:t>
      </w:r>
      <w:r w:rsidR="00301410" w:rsidRPr="00992E71">
        <w:rPr>
          <w:rFonts w:ascii="Open Sans" w:hAnsi="Open Sans" w:cs="Open Sans"/>
          <w:sz w:val="20"/>
          <w:szCs w:val="20"/>
        </w:rPr>
        <w:t xml:space="preserve"> EUR)</w:t>
      </w:r>
      <w:r w:rsidR="00301410">
        <w:rPr>
          <w:rFonts w:ascii="Open Sans" w:hAnsi="Open Sans" w:cs="Open Sans"/>
          <w:sz w:val="20"/>
          <w:szCs w:val="20"/>
        </w:rPr>
        <w:t>.</w:t>
      </w:r>
    </w:p>
    <w:p w14:paraId="0105765A" w14:textId="40354BF2" w:rsidR="00F85BE0" w:rsidRDefault="00F85BE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Kratkoročne pasivne časovne razmejitve se nanašajo na vnaprej vračunane stroške in kratkoročno odložene prihodke iz naslova </w:t>
      </w:r>
      <w:r w:rsidR="00301410">
        <w:rPr>
          <w:rFonts w:ascii="Open Sans" w:hAnsi="Open Sans" w:cs="Open Sans"/>
          <w:sz w:val="20"/>
          <w:szCs w:val="20"/>
        </w:rPr>
        <w:t>prejetih</w:t>
      </w:r>
      <w:r w:rsidRPr="00992E71">
        <w:rPr>
          <w:rFonts w:ascii="Open Sans" w:hAnsi="Open Sans" w:cs="Open Sans"/>
          <w:sz w:val="20"/>
          <w:szCs w:val="20"/>
        </w:rPr>
        <w:t xml:space="preserve"> subvencij.</w:t>
      </w:r>
    </w:p>
    <w:p w14:paraId="26C3F2DD" w14:textId="77777777" w:rsidR="007F5D46" w:rsidRPr="00992E71" w:rsidRDefault="007F5D46" w:rsidP="00A37D3A">
      <w:pPr>
        <w:jc w:val="both"/>
        <w:rPr>
          <w:rFonts w:ascii="Open Sans" w:hAnsi="Open Sans" w:cs="Open Sans"/>
          <w:sz w:val="20"/>
          <w:szCs w:val="20"/>
        </w:rPr>
      </w:pPr>
    </w:p>
    <w:p w14:paraId="37CACC63" w14:textId="77777777" w:rsidR="00FB269A" w:rsidRPr="00992E71" w:rsidRDefault="00FB269A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Pojasnila k postavkam povzetka </w:t>
      </w:r>
      <w:r w:rsidR="00DA0A82" w:rsidRPr="00992E71">
        <w:rPr>
          <w:rFonts w:ascii="Open Sans" w:hAnsi="Open Sans" w:cs="Open Sans"/>
          <w:b/>
          <w:sz w:val="20"/>
          <w:szCs w:val="20"/>
        </w:rPr>
        <w:t>celotnega izkaza vseobsegajočega donosa</w:t>
      </w:r>
    </w:p>
    <w:p w14:paraId="0BE84DED" w14:textId="7B6CA1F7" w:rsidR="0031432D" w:rsidRDefault="00A9738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Čisti prihodki od p</w:t>
      </w:r>
      <w:r w:rsidR="00C4523B">
        <w:rPr>
          <w:rFonts w:ascii="Open Sans" w:hAnsi="Open Sans" w:cs="Open Sans"/>
          <w:sz w:val="20"/>
          <w:szCs w:val="20"/>
        </w:rPr>
        <w:t xml:space="preserve">rodaje so </w:t>
      </w:r>
      <w:r w:rsidR="00B96958">
        <w:rPr>
          <w:rFonts w:ascii="Open Sans" w:hAnsi="Open Sans" w:cs="Open Sans"/>
          <w:sz w:val="20"/>
          <w:szCs w:val="20"/>
        </w:rPr>
        <w:t xml:space="preserve">v </w:t>
      </w:r>
      <w:r w:rsidR="001B4726">
        <w:rPr>
          <w:rFonts w:ascii="Open Sans" w:hAnsi="Open Sans" w:cs="Open Sans"/>
          <w:sz w:val="20"/>
          <w:szCs w:val="20"/>
        </w:rPr>
        <w:t>obdobju 1.1. do 30.6</w:t>
      </w:r>
      <w:r w:rsidR="00E9255C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992E71">
        <w:rPr>
          <w:rFonts w:ascii="Open Sans" w:hAnsi="Open Sans" w:cs="Open Sans"/>
          <w:sz w:val="20"/>
          <w:szCs w:val="20"/>
        </w:rPr>
        <w:t xml:space="preserve"> zna</w:t>
      </w:r>
      <w:r w:rsidR="00BA488C">
        <w:rPr>
          <w:rFonts w:ascii="Open Sans" w:hAnsi="Open Sans" w:cs="Open Sans"/>
          <w:sz w:val="20"/>
          <w:szCs w:val="20"/>
        </w:rPr>
        <w:t>šal</w:t>
      </w:r>
      <w:r w:rsidR="00BA488C" w:rsidRPr="00B31DBB">
        <w:rPr>
          <w:rFonts w:ascii="Open Sans" w:hAnsi="Open Sans" w:cs="Open Sans"/>
          <w:sz w:val="20"/>
          <w:szCs w:val="20"/>
        </w:rPr>
        <w:t xml:space="preserve">i </w:t>
      </w:r>
      <w:r w:rsidR="007C49A0">
        <w:rPr>
          <w:rFonts w:ascii="Open Sans" w:hAnsi="Open Sans" w:cs="Open Sans"/>
          <w:sz w:val="20"/>
          <w:szCs w:val="20"/>
        </w:rPr>
        <w:t>1.372.279</w:t>
      </w:r>
      <w:r w:rsidR="00743145">
        <w:rPr>
          <w:rFonts w:ascii="Open Sans" w:hAnsi="Open Sans" w:cs="Open Sans"/>
          <w:sz w:val="20"/>
          <w:szCs w:val="20"/>
        </w:rPr>
        <w:t xml:space="preserve"> EUR (1.1. do 3</w:t>
      </w:r>
      <w:r w:rsidR="001B4726">
        <w:rPr>
          <w:rFonts w:ascii="Open Sans" w:hAnsi="Open Sans" w:cs="Open Sans"/>
          <w:sz w:val="20"/>
          <w:szCs w:val="20"/>
        </w:rPr>
        <w:t>0.6</w:t>
      </w:r>
      <w:r w:rsidR="00E9255C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7C49A0">
        <w:rPr>
          <w:rFonts w:ascii="Open Sans" w:hAnsi="Open Sans" w:cs="Open Sans"/>
          <w:sz w:val="20"/>
          <w:szCs w:val="20"/>
        </w:rPr>
        <w:t>1.224.431</w:t>
      </w:r>
      <w:r w:rsidRPr="00992E71">
        <w:rPr>
          <w:rFonts w:ascii="Open Sans" w:hAnsi="Open Sans" w:cs="Open Sans"/>
          <w:sz w:val="20"/>
          <w:szCs w:val="20"/>
        </w:rPr>
        <w:t xml:space="preserve"> EUR). </w:t>
      </w:r>
    </w:p>
    <w:p w14:paraId="2A044BB6" w14:textId="58DA83F5" w:rsidR="0031432D" w:rsidRDefault="00A9738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Med čistimi prihodki od prodaje največji znesek predstavljajo prihodki od </w:t>
      </w:r>
      <w:r w:rsidR="007C49A0">
        <w:rPr>
          <w:rFonts w:ascii="Open Sans" w:hAnsi="Open Sans" w:cs="Open Sans"/>
          <w:sz w:val="20"/>
          <w:szCs w:val="20"/>
        </w:rPr>
        <w:t>najemnin</w:t>
      </w:r>
      <w:r w:rsidR="0081028F">
        <w:rPr>
          <w:rFonts w:ascii="Open Sans" w:hAnsi="Open Sans" w:cs="Open Sans"/>
          <w:sz w:val="20"/>
          <w:szCs w:val="20"/>
        </w:rPr>
        <w:t>, ki v tem</w:t>
      </w:r>
      <w:r w:rsidRPr="00992E71">
        <w:rPr>
          <w:rFonts w:ascii="Open Sans" w:hAnsi="Open Sans" w:cs="Open Sans"/>
          <w:sz w:val="20"/>
          <w:szCs w:val="20"/>
        </w:rPr>
        <w:t xml:space="preserve"> obdobju znašajo</w:t>
      </w:r>
      <w:r w:rsidRPr="00254A5C">
        <w:rPr>
          <w:rFonts w:ascii="Open Sans" w:hAnsi="Open Sans" w:cs="Open Sans"/>
          <w:sz w:val="20"/>
          <w:szCs w:val="20"/>
        </w:rPr>
        <w:t xml:space="preserve"> </w:t>
      </w:r>
      <w:r w:rsidR="007C49A0">
        <w:rPr>
          <w:rFonts w:ascii="Open Sans" w:hAnsi="Open Sans" w:cs="Open Sans"/>
          <w:sz w:val="20"/>
          <w:szCs w:val="20"/>
        </w:rPr>
        <w:t>1.365.273</w:t>
      </w:r>
      <w:r w:rsidR="004E2729">
        <w:rPr>
          <w:rFonts w:ascii="Open Sans" w:hAnsi="Open Sans" w:cs="Open Sans"/>
          <w:sz w:val="20"/>
          <w:szCs w:val="20"/>
        </w:rPr>
        <w:t xml:space="preserve"> EUR (1.1. do 30.6</w:t>
      </w:r>
      <w:r w:rsidR="008A26DF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54002D">
        <w:rPr>
          <w:rFonts w:ascii="Open Sans" w:hAnsi="Open Sans" w:cs="Open Sans"/>
          <w:sz w:val="20"/>
          <w:szCs w:val="20"/>
        </w:rPr>
        <w:t xml:space="preserve"> </w:t>
      </w:r>
      <w:r w:rsidR="007C49A0">
        <w:rPr>
          <w:rFonts w:ascii="Open Sans" w:hAnsi="Open Sans" w:cs="Open Sans"/>
          <w:sz w:val="20"/>
          <w:szCs w:val="20"/>
        </w:rPr>
        <w:t>1.212.071</w:t>
      </w:r>
      <w:r w:rsidR="00524CE2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>).</w:t>
      </w:r>
      <w:r w:rsidR="00650AFA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4CA85CE2" w14:textId="3297B95E" w:rsidR="00FB269A" w:rsidRPr="00992E71" w:rsidRDefault="009C6A9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</w:t>
      </w:r>
      <w:r w:rsidR="00DD1B90">
        <w:rPr>
          <w:rFonts w:ascii="Open Sans" w:hAnsi="Open Sans" w:cs="Open Sans"/>
          <w:sz w:val="20"/>
          <w:szCs w:val="20"/>
        </w:rPr>
        <w:t>gi p</w:t>
      </w:r>
      <w:r w:rsidR="00AE15C9">
        <w:rPr>
          <w:rFonts w:ascii="Open Sans" w:hAnsi="Open Sans" w:cs="Open Sans"/>
          <w:sz w:val="20"/>
          <w:szCs w:val="20"/>
        </w:rPr>
        <w:t xml:space="preserve">oslovni prihodki v </w:t>
      </w:r>
      <w:r w:rsidR="000B1F7B">
        <w:rPr>
          <w:rFonts w:ascii="Open Sans" w:hAnsi="Open Sans" w:cs="Open Sans"/>
          <w:sz w:val="20"/>
          <w:szCs w:val="20"/>
        </w:rPr>
        <w:t>prv</w:t>
      </w:r>
      <w:r w:rsidR="004E2729">
        <w:rPr>
          <w:rFonts w:ascii="Open Sans" w:hAnsi="Open Sans" w:cs="Open Sans"/>
          <w:sz w:val="20"/>
          <w:szCs w:val="20"/>
        </w:rPr>
        <w:t>em polletju</w:t>
      </w:r>
      <w:r w:rsidR="00B063DF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7C49A0">
        <w:rPr>
          <w:rFonts w:ascii="Open Sans" w:hAnsi="Open Sans" w:cs="Open Sans"/>
          <w:sz w:val="20"/>
          <w:szCs w:val="20"/>
        </w:rPr>
        <w:t>5.334</w:t>
      </w:r>
      <w:r w:rsidR="004E2729">
        <w:rPr>
          <w:rFonts w:ascii="Open Sans" w:hAnsi="Open Sans" w:cs="Open Sans"/>
          <w:sz w:val="20"/>
          <w:szCs w:val="20"/>
        </w:rPr>
        <w:t xml:space="preserve"> EUR (1.1. do 30.6</w:t>
      </w:r>
      <w:r w:rsidR="00B063DF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7C49A0">
        <w:rPr>
          <w:rFonts w:ascii="Open Sans" w:hAnsi="Open Sans" w:cs="Open Sans"/>
          <w:sz w:val="20"/>
          <w:szCs w:val="20"/>
        </w:rPr>
        <w:t>632.944</w:t>
      </w:r>
      <w:r w:rsidR="00BF3D62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 xml:space="preserve">EUR). </w:t>
      </w:r>
      <w:r w:rsidR="0020275E" w:rsidRPr="00992E71">
        <w:rPr>
          <w:rFonts w:ascii="Open Sans" w:hAnsi="Open Sans" w:cs="Open Sans"/>
          <w:sz w:val="20"/>
          <w:szCs w:val="20"/>
        </w:rPr>
        <w:t xml:space="preserve">Med drugimi poslovnimi prihodki </w:t>
      </w:r>
      <w:r w:rsidR="007C49A0">
        <w:rPr>
          <w:rFonts w:ascii="Open Sans" w:hAnsi="Open Sans" w:cs="Open Sans"/>
          <w:sz w:val="20"/>
          <w:szCs w:val="20"/>
        </w:rPr>
        <w:t xml:space="preserve">v primerljivem obdobju </w:t>
      </w:r>
      <w:r w:rsidR="0020275E" w:rsidRPr="00992E71">
        <w:rPr>
          <w:rFonts w:ascii="Open Sans" w:hAnsi="Open Sans" w:cs="Open Sans"/>
          <w:sz w:val="20"/>
          <w:szCs w:val="20"/>
        </w:rPr>
        <w:t xml:space="preserve">družba </w:t>
      </w:r>
      <w:r w:rsidR="007F051C">
        <w:rPr>
          <w:rFonts w:ascii="Open Sans" w:hAnsi="Open Sans" w:cs="Open Sans"/>
          <w:sz w:val="20"/>
          <w:szCs w:val="20"/>
        </w:rPr>
        <w:t xml:space="preserve">v pretežni meri </w:t>
      </w:r>
      <w:r w:rsidR="00BD6B88">
        <w:rPr>
          <w:rFonts w:ascii="Open Sans" w:hAnsi="Open Sans" w:cs="Open Sans"/>
          <w:sz w:val="20"/>
          <w:szCs w:val="20"/>
        </w:rPr>
        <w:t>izkazuje</w:t>
      </w:r>
      <w:r w:rsidR="0020275E" w:rsidRPr="00992E71">
        <w:rPr>
          <w:rFonts w:ascii="Open Sans" w:hAnsi="Open Sans" w:cs="Open Sans"/>
          <w:sz w:val="20"/>
          <w:szCs w:val="20"/>
        </w:rPr>
        <w:t xml:space="preserve"> dobičke pri prod</w:t>
      </w:r>
      <w:r w:rsidR="00BD6B88">
        <w:rPr>
          <w:rFonts w:ascii="Open Sans" w:hAnsi="Open Sans" w:cs="Open Sans"/>
          <w:sz w:val="20"/>
          <w:szCs w:val="20"/>
        </w:rPr>
        <w:t>aji</w:t>
      </w:r>
      <w:r w:rsidR="0020275E" w:rsidRPr="00992E71">
        <w:rPr>
          <w:rFonts w:ascii="Open Sans" w:hAnsi="Open Sans" w:cs="Open Sans"/>
          <w:sz w:val="20"/>
          <w:szCs w:val="20"/>
        </w:rPr>
        <w:t xml:space="preserve"> </w:t>
      </w:r>
      <w:r w:rsidR="00AF10DC">
        <w:rPr>
          <w:rFonts w:ascii="Open Sans" w:hAnsi="Open Sans" w:cs="Open Sans"/>
          <w:sz w:val="20"/>
          <w:szCs w:val="20"/>
        </w:rPr>
        <w:t>nepremičnine v Novigradu.</w:t>
      </w:r>
      <w:r w:rsidR="001F25AB">
        <w:rPr>
          <w:rFonts w:ascii="Open Sans" w:hAnsi="Open Sans" w:cs="Open Sans"/>
          <w:sz w:val="20"/>
          <w:szCs w:val="20"/>
        </w:rPr>
        <w:t xml:space="preserve"> </w:t>
      </w:r>
    </w:p>
    <w:p w14:paraId="72003805" w14:textId="712FA85E" w:rsidR="00877BA0" w:rsidRPr="00992E71" w:rsidRDefault="00877BA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Stroški blaga, materiala in</w:t>
      </w:r>
      <w:r w:rsidR="004359BC">
        <w:rPr>
          <w:rFonts w:ascii="Open Sans" w:hAnsi="Open Sans" w:cs="Open Sans"/>
          <w:sz w:val="20"/>
          <w:szCs w:val="20"/>
        </w:rPr>
        <w:t xml:space="preserve"> storitev v obdobju 1.1. do 30.6</w:t>
      </w:r>
      <w:r w:rsidR="00851701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992E71">
        <w:rPr>
          <w:rFonts w:ascii="Open Sans" w:hAnsi="Open Sans" w:cs="Open Sans"/>
          <w:sz w:val="20"/>
          <w:szCs w:val="20"/>
        </w:rPr>
        <w:t xml:space="preserve"> znašajo</w:t>
      </w:r>
      <w:r w:rsidRPr="00F625B4">
        <w:rPr>
          <w:rFonts w:ascii="Open Sans" w:hAnsi="Open Sans" w:cs="Open Sans"/>
          <w:sz w:val="20"/>
          <w:szCs w:val="20"/>
        </w:rPr>
        <w:t xml:space="preserve"> </w:t>
      </w:r>
      <w:r w:rsidR="003436B6">
        <w:rPr>
          <w:rFonts w:ascii="Open Sans" w:hAnsi="Open Sans" w:cs="Open Sans"/>
          <w:sz w:val="20"/>
          <w:szCs w:val="20"/>
        </w:rPr>
        <w:t>361.745</w:t>
      </w:r>
      <w:r w:rsidR="004359BC">
        <w:rPr>
          <w:rFonts w:ascii="Open Sans" w:hAnsi="Open Sans" w:cs="Open Sans"/>
          <w:sz w:val="20"/>
          <w:szCs w:val="20"/>
        </w:rPr>
        <w:t xml:space="preserve"> EUR (1.1. do 30.6</w:t>
      </w:r>
      <w:r w:rsidR="00851701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3436B6">
        <w:rPr>
          <w:rFonts w:ascii="Open Sans" w:hAnsi="Open Sans" w:cs="Open Sans"/>
          <w:sz w:val="20"/>
          <w:szCs w:val="20"/>
        </w:rPr>
        <w:t>294.340</w:t>
      </w:r>
      <w:r w:rsidRPr="00992E71">
        <w:rPr>
          <w:rFonts w:ascii="Open Sans" w:hAnsi="Open Sans" w:cs="Open Sans"/>
          <w:sz w:val="20"/>
          <w:szCs w:val="20"/>
        </w:rPr>
        <w:t xml:space="preserve"> EUR).</w:t>
      </w:r>
      <w:r w:rsidR="003D1AD5" w:rsidRPr="00992E71">
        <w:rPr>
          <w:rFonts w:ascii="Open Sans" w:hAnsi="Open Sans" w:cs="Open Sans"/>
          <w:sz w:val="20"/>
          <w:szCs w:val="20"/>
        </w:rPr>
        <w:t xml:space="preserve"> Največji del postavke </w:t>
      </w:r>
      <w:r w:rsidR="003436B6">
        <w:rPr>
          <w:rFonts w:ascii="Open Sans" w:hAnsi="Open Sans" w:cs="Open Sans"/>
          <w:sz w:val="20"/>
          <w:szCs w:val="20"/>
        </w:rPr>
        <w:t>predstavljajo stroški storitev</w:t>
      </w:r>
      <w:r w:rsidR="009E0204">
        <w:rPr>
          <w:rFonts w:ascii="Open Sans" w:hAnsi="Open Sans" w:cs="Open Sans"/>
          <w:sz w:val="20"/>
          <w:szCs w:val="20"/>
        </w:rPr>
        <w:t xml:space="preserve"> in sicer </w:t>
      </w:r>
      <w:r w:rsidR="003436B6">
        <w:rPr>
          <w:rFonts w:ascii="Open Sans" w:hAnsi="Open Sans" w:cs="Open Sans"/>
          <w:sz w:val="20"/>
          <w:szCs w:val="20"/>
        </w:rPr>
        <w:t>so ti</w:t>
      </w:r>
      <w:r w:rsidR="009E0204">
        <w:rPr>
          <w:rFonts w:ascii="Open Sans" w:hAnsi="Open Sans" w:cs="Open Sans"/>
          <w:sz w:val="20"/>
          <w:szCs w:val="20"/>
        </w:rPr>
        <w:t xml:space="preserve"> v </w:t>
      </w:r>
      <w:r w:rsidR="003C7769">
        <w:rPr>
          <w:rFonts w:ascii="Open Sans" w:hAnsi="Open Sans" w:cs="Open Sans"/>
          <w:sz w:val="20"/>
          <w:szCs w:val="20"/>
        </w:rPr>
        <w:t>prv</w:t>
      </w:r>
      <w:r w:rsidR="004359BC">
        <w:rPr>
          <w:rFonts w:ascii="Open Sans" w:hAnsi="Open Sans" w:cs="Open Sans"/>
          <w:sz w:val="20"/>
          <w:szCs w:val="20"/>
        </w:rPr>
        <w:t>em polletju</w:t>
      </w:r>
      <w:r w:rsidR="00736C6F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1A683B" w:rsidRPr="00992E71">
        <w:rPr>
          <w:rFonts w:ascii="Open Sans" w:hAnsi="Open Sans" w:cs="Open Sans"/>
          <w:sz w:val="20"/>
          <w:szCs w:val="20"/>
        </w:rPr>
        <w:t xml:space="preserve"> znašal</w:t>
      </w:r>
      <w:r w:rsidR="003436B6">
        <w:rPr>
          <w:rFonts w:ascii="Open Sans" w:hAnsi="Open Sans" w:cs="Open Sans"/>
          <w:sz w:val="20"/>
          <w:szCs w:val="20"/>
        </w:rPr>
        <w:t>i</w:t>
      </w:r>
      <w:r w:rsidR="001A683B" w:rsidRPr="00992E71">
        <w:rPr>
          <w:rFonts w:ascii="Open Sans" w:hAnsi="Open Sans" w:cs="Open Sans"/>
          <w:sz w:val="20"/>
          <w:szCs w:val="20"/>
        </w:rPr>
        <w:t xml:space="preserve"> </w:t>
      </w:r>
      <w:r w:rsidR="003436B6">
        <w:rPr>
          <w:rFonts w:ascii="Open Sans" w:hAnsi="Open Sans" w:cs="Open Sans"/>
          <w:sz w:val="20"/>
          <w:szCs w:val="20"/>
        </w:rPr>
        <w:t>290.727 EUR</w:t>
      </w:r>
      <w:r w:rsidR="00493C74">
        <w:rPr>
          <w:rFonts w:ascii="Open Sans" w:hAnsi="Open Sans" w:cs="Open Sans"/>
          <w:sz w:val="20"/>
          <w:szCs w:val="20"/>
        </w:rPr>
        <w:t xml:space="preserve"> (1.1. do 30.6</w:t>
      </w:r>
      <w:r w:rsidR="00736C6F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="001A683B" w:rsidRPr="00992E71">
        <w:rPr>
          <w:rFonts w:ascii="Open Sans" w:hAnsi="Open Sans" w:cs="Open Sans"/>
          <w:sz w:val="20"/>
          <w:szCs w:val="20"/>
        </w:rPr>
        <w:t xml:space="preserve">: </w:t>
      </w:r>
      <w:r w:rsidR="003436B6">
        <w:rPr>
          <w:rFonts w:ascii="Open Sans" w:hAnsi="Open Sans" w:cs="Open Sans"/>
          <w:sz w:val="20"/>
          <w:szCs w:val="20"/>
        </w:rPr>
        <w:t>247.945</w:t>
      </w:r>
      <w:r w:rsidR="00E15447">
        <w:rPr>
          <w:rFonts w:ascii="Open Sans" w:hAnsi="Open Sans" w:cs="Open Sans"/>
          <w:sz w:val="20"/>
          <w:szCs w:val="20"/>
        </w:rPr>
        <w:t xml:space="preserve"> </w:t>
      </w:r>
      <w:r w:rsidR="00451627" w:rsidRPr="00992E71">
        <w:rPr>
          <w:rFonts w:ascii="Open Sans" w:hAnsi="Open Sans" w:cs="Open Sans"/>
          <w:sz w:val="20"/>
          <w:szCs w:val="20"/>
        </w:rPr>
        <w:t>EUR)</w:t>
      </w:r>
      <w:r w:rsidR="001A683B" w:rsidRPr="00992E71">
        <w:rPr>
          <w:rFonts w:ascii="Open Sans" w:hAnsi="Open Sans" w:cs="Open Sans"/>
          <w:sz w:val="20"/>
          <w:szCs w:val="20"/>
        </w:rPr>
        <w:t>.</w:t>
      </w:r>
      <w:r w:rsidR="0080068F" w:rsidRPr="00992E71">
        <w:rPr>
          <w:rFonts w:ascii="Open Sans" w:hAnsi="Open Sans" w:cs="Open Sans"/>
          <w:sz w:val="20"/>
          <w:szCs w:val="20"/>
        </w:rPr>
        <w:t xml:space="preserve"> </w:t>
      </w:r>
      <w:r w:rsidR="0069129F">
        <w:rPr>
          <w:rFonts w:ascii="Open Sans" w:hAnsi="Open Sans" w:cs="Open Sans"/>
          <w:sz w:val="20"/>
          <w:szCs w:val="20"/>
        </w:rPr>
        <w:t xml:space="preserve">Stroški blaga in materiala so v prvem polletju 2022 napram preteklem obdobju lani višji za </w:t>
      </w:r>
      <w:r w:rsidR="002D2583">
        <w:rPr>
          <w:rFonts w:ascii="Open Sans" w:hAnsi="Open Sans" w:cs="Open Sans"/>
          <w:sz w:val="20"/>
          <w:szCs w:val="20"/>
        </w:rPr>
        <w:t>24.624</w:t>
      </w:r>
      <w:r w:rsidR="0069129F">
        <w:rPr>
          <w:rFonts w:ascii="Open Sans" w:hAnsi="Open Sans" w:cs="Open Sans"/>
          <w:sz w:val="20"/>
          <w:szCs w:val="20"/>
        </w:rPr>
        <w:t xml:space="preserve"> EUR na račun višjih stroškov materiala za vzdrževanje ter višjih stroškov energije. Medtem ko so se na strani stroškov storitev</w:t>
      </w:r>
      <w:r w:rsidR="00DE111A">
        <w:rPr>
          <w:rFonts w:ascii="Open Sans" w:hAnsi="Open Sans" w:cs="Open Sans"/>
          <w:sz w:val="20"/>
          <w:szCs w:val="20"/>
        </w:rPr>
        <w:t>, ki so napram preteklem obdobju lani višji za 42.781 EUR,</w:t>
      </w:r>
      <w:r w:rsidR="0069129F">
        <w:rPr>
          <w:rFonts w:ascii="Open Sans" w:hAnsi="Open Sans" w:cs="Open Sans"/>
          <w:sz w:val="20"/>
          <w:szCs w:val="20"/>
        </w:rPr>
        <w:t xml:space="preserve"> povišali predvsem </w:t>
      </w:r>
      <w:r w:rsidR="00DE111A">
        <w:rPr>
          <w:rFonts w:ascii="Open Sans" w:hAnsi="Open Sans" w:cs="Open Sans"/>
          <w:sz w:val="20"/>
          <w:szCs w:val="20"/>
        </w:rPr>
        <w:t xml:space="preserve">stroški drugih storitev povezanih z obratovanjem nepremičnin. </w:t>
      </w:r>
    </w:p>
    <w:p w14:paraId="0D720391" w14:textId="4D7D2063" w:rsidR="00277DBF" w:rsidRPr="00992E71" w:rsidRDefault="00284CAF" w:rsidP="00A37D3A">
      <w:pPr>
        <w:jc w:val="both"/>
        <w:rPr>
          <w:rFonts w:ascii="Open Sans" w:hAnsi="Open Sans" w:cs="Open Sans"/>
          <w:sz w:val="20"/>
          <w:szCs w:val="20"/>
        </w:rPr>
      </w:pPr>
      <w:r w:rsidRPr="009B1A75">
        <w:rPr>
          <w:rFonts w:ascii="Open Sans" w:hAnsi="Open Sans" w:cs="Open Sans"/>
          <w:sz w:val="20"/>
          <w:szCs w:val="20"/>
        </w:rPr>
        <w:lastRenderedPageBreak/>
        <w:t>Stroški dela</w:t>
      </w:r>
      <w:r w:rsidRPr="00992E71">
        <w:rPr>
          <w:rFonts w:ascii="Open Sans" w:hAnsi="Open Sans" w:cs="Open Sans"/>
          <w:sz w:val="20"/>
          <w:szCs w:val="20"/>
        </w:rPr>
        <w:t xml:space="preserve"> so v </w:t>
      </w:r>
      <w:r w:rsidR="00C22FE6">
        <w:rPr>
          <w:rFonts w:ascii="Open Sans" w:hAnsi="Open Sans" w:cs="Open Sans"/>
          <w:sz w:val="20"/>
          <w:szCs w:val="20"/>
        </w:rPr>
        <w:t>obdobju 1.1. do 30.6</w:t>
      </w:r>
      <w:r w:rsidR="006C1206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992E71">
        <w:rPr>
          <w:rFonts w:ascii="Open Sans" w:hAnsi="Open Sans" w:cs="Open Sans"/>
          <w:sz w:val="20"/>
          <w:szCs w:val="20"/>
        </w:rPr>
        <w:t xml:space="preserve"> znašali </w:t>
      </w:r>
      <w:r w:rsidR="00962DC3">
        <w:rPr>
          <w:rFonts w:ascii="Open Sans" w:hAnsi="Open Sans" w:cs="Open Sans"/>
          <w:sz w:val="20"/>
          <w:szCs w:val="20"/>
        </w:rPr>
        <w:t>139.008</w:t>
      </w:r>
      <w:r w:rsidR="00C22FE6">
        <w:rPr>
          <w:rFonts w:ascii="Open Sans" w:hAnsi="Open Sans" w:cs="Open Sans"/>
          <w:sz w:val="20"/>
          <w:szCs w:val="20"/>
        </w:rPr>
        <w:t xml:space="preserve"> EUR (1.1. do 30.6</w:t>
      </w:r>
      <w:r w:rsidR="003C2FC6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962DC3">
        <w:rPr>
          <w:rFonts w:ascii="Open Sans" w:hAnsi="Open Sans" w:cs="Open Sans"/>
          <w:sz w:val="20"/>
          <w:szCs w:val="20"/>
        </w:rPr>
        <w:t>130.493</w:t>
      </w:r>
      <w:r w:rsidRPr="00992E71">
        <w:rPr>
          <w:rFonts w:ascii="Open Sans" w:hAnsi="Open Sans" w:cs="Open Sans"/>
          <w:sz w:val="20"/>
          <w:szCs w:val="20"/>
        </w:rPr>
        <w:t xml:space="preserve"> EUR)</w:t>
      </w:r>
      <w:r w:rsidR="00E028E2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69FF8CF1" w14:textId="68CA0043" w:rsidR="007806B5" w:rsidRDefault="007806B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Odpisi vred</w:t>
      </w:r>
      <w:r w:rsidR="007D7AAE">
        <w:rPr>
          <w:rFonts w:ascii="Open Sans" w:hAnsi="Open Sans" w:cs="Open Sans"/>
          <w:sz w:val="20"/>
          <w:szCs w:val="20"/>
        </w:rPr>
        <w:t xml:space="preserve">nosti, ki v </w:t>
      </w:r>
      <w:r w:rsidR="0003766C">
        <w:rPr>
          <w:rFonts w:ascii="Open Sans" w:hAnsi="Open Sans" w:cs="Open Sans"/>
          <w:sz w:val="20"/>
          <w:szCs w:val="20"/>
        </w:rPr>
        <w:t>prvem polletju</w:t>
      </w:r>
      <w:r w:rsidR="000D6FAE">
        <w:rPr>
          <w:rFonts w:ascii="Open Sans" w:hAnsi="Open Sans" w:cs="Open Sans"/>
          <w:sz w:val="20"/>
          <w:szCs w:val="20"/>
        </w:rPr>
        <w:t xml:space="preserve"> leta 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992E71">
        <w:rPr>
          <w:rFonts w:ascii="Open Sans" w:hAnsi="Open Sans" w:cs="Open Sans"/>
          <w:sz w:val="20"/>
          <w:szCs w:val="20"/>
        </w:rPr>
        <w:t xml:space="preserve"> znašaj</w:t>
      </w:r>
      <w:r w:rsidRPr="00021A9C">
        <w:rPr>
          <w:rFonts w:ascii="Open Sans" w:hAnsi="Open Sans" w:cs="Open Sans"/>
          <w:sz w:val="20"/>
          <w:szCs w:val="20"/>
        </w:rPr>
        <w:t xml:space="preserve">o </w:t>
      </w:r>
      <w:r w:rsidR="00962DC3">
        <w:rPr>
          <w:rFonts w:ascii="Open Sans" w:hAnsi="Open Sans" w:cs="Open Sans"/>
          <w:sz w:val="20"/>
          <w:szCs w:val="20"/>
        </w:rPr>
        <w:t>202.351</w:t>
      </w:r>
      <w:r w:rsidR="0003766C">
        <w:rPr>
          <w:rFonts w:ascii="Open Sans" w:hAnsi="Open Sans" w:cs="Open Sans"/>
          <w:sz w:val="20"/>
          <w:szCs w:val="20"/>
        </w:rPr>
        <w:t xml:space="preserve"> EUR (1.1. do 30.6</w:t>
      </w:r>
      <w:r w:rsidR="003C2FC6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2021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962DC3">
        <w:rPr>
          <w:rFonts w:ascii="Open Sans" w:hAnsi="Open Sans" w:cs="Open Sans"/>
          <w:sz w:val="20"/>
          <w:szCs w:val="20"/>
        </w:rPr>
        <w:t>183.372</w:t>
      </w:r>
      <w:r w:rsidR="009B1A75">
        <w:rPr>
          <w:rFonts w:ascii="Open Sans" w:hAnsi="Open Sans" w:cs="Open Sans"/>
          <w:sz w:val="20"/>
          <w:szCs w:val="20"/>
        </w:rPr>
        <w:t xml:space="preserve"> EUR), se </w:t>
      </w:r>
      <w:r w:rsidRPr="00992E71">
        <w:rPr>
          <w:rFonts w:ascii="Open Sans" w:hAnsi="Open Sans" w:cs="Open Sans"/>
          <w:sz w:val="20"/>
          <w:szCs w:val="20"/>
        </w:rPr>
        <w:t xml:space="preserve">v </w:t>
      </w:r>
      <w:r w:rsidR="001F417F">
        <w:rPr>
          <w:rFonts w:ascii="Open Sans" w:hAnsi="Open Sans" w:cs="Open Sans"/>
          <w:sz w:val="20"/>
          <w:szCs w:val="20"/>
        </w:rPr>
        <w:t>pretežni meri</w:t>
      </w:r>
      <w:r w:rsidRPr="00992E71">
        <w:rPr>
          <w:rFonts w:ascii="Open Sans" w:hAnsi="Open Sans" w:cs="Open Sans"/>
          <w:sz w:val="20"/>
          <w:szCs w:val="20"/>
        </w:rPr>
        <w:t xml:space="preserve"> nanašajo na amortizacijo neopredmetenih sredstev, op</w:t>
      </w:r>
      <w:r w:rsidR="00567006">
        <w:rPr>
          <w:rFonts w:ascii="Open Sans" w:hAnsi="Open Sans" w:cs="Open Sans"/>
          <w:sz w:val="20"/>
          <w:szCs w:val="20"/>
        </w:rPr>
        <w:t>redmetenih osnovnih sredstev</w:t>
      </w:r>
      <w:r w:rsidR="00962DC3">
        <w:rPr>
          <w:rFonts w:ascii="Open Sans" w:hAnsi="Open Sans" w:cs="Open Sans"/>
          <w:sz w:val="20"/>
          <w:szCs w:val="20"/>
        </w:rPr>
        <w:t xml:space="preserve"> in</w:t>
      </w:r>
      <w:r w:rsidR="00567006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naložbenih nepremičnin</w:t>
      </w:r>
      <w:r w:rsidR="00962DC3">
        <w:rPr>
          <w:rFonts w:ascii="Open Sans" w:hAnsi="Open Sans" w:cs="Open Sans"/>
          <w:sz w:val="20"/>
          <w:szCs w:val="20"/>
        </w:rPr>
        <w:t>.</w:t>
      </w:r>
    </w:p>
    <w:p w14:paraId="0CF10361" w14:textId="57629B2E" w:rsidR="00CF41B6" w:rsidRDefault="00FA0A6F" w:rsidP="00A37D3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00CF41B6">
        <w:rPr>
          <w:rFonts w:ascii="Open Sans" w:hAnsi="Open Sans" w:cs="Open Sans"/>
          <w:sz w:val="20"/>
          <w:szCs w:val="20"/>
        </w:rPr>
        <w:t>rug</w:t>
      </w:r>
      <w:r>
        <w:rPr>
          <w:rFonts w:ascii="Open Sans" w:hAnsi="Open Sans" w:cs="Open Sans"/>
          <w:sz w:val="20"/>
          <w:szCs w:val="20"/>
        </w:rPr>
        <w:t>i</w:t>
      </w:r>
      <w:r w:rsidR="00CF41B6">
        <w:rPr>
          <w:rFonts w:ascii="Open Sans" w:hAnsi="Open Sans" w:cs="Open Sans"/>
          <w:sz w:val="20"/>
          <w:szCs w:val="20"/>
        </w:rPr>
        <w:t xml:space="preserve"> poslovn</w:t>
      </w:r>
      <w:r>
        <w:rPr>
          <w:rFonts w:ascii="Open Sans" w:hAnsi="Open Sans" w:cs="Open Sans"/>
          <w:sz w:val="20"/>
          <w:szCs w:val="20"/>
        </w:rPr>
        <w:t>i</w:t>
      </w:r>
      <w:r w:rsidR="00CF41B6">
        <w:rPr>
          <w:rFonts w:ascii="Open Sans" w:hAnsi="Open Sans" w:cs="Open Sans"/>
          <w:sz w:val="20"/>
          <w:szCs w:val="20"/>
        </w:rPr>
        <w:t xml:space="preserve"> odhodk</w:t>
      </w:r>
      <w:r>
        <w:rPr>
          <w:rFonts w:ascii="Open Sans" w:hAnsi="Open Sans" w:cs="Open Sans"/>
          <w:sz w:val="20"/>
          <w:szCs w:val="20"/>
        </w:rPr>
        <w:t xml:space="preserve">i so v obdobju 1.1. do 30.6.2022 znašali 167.968 EUR in so glede na preteklo obdobje lani višji za 66.476 EUR. Med drugimi poslovnimi odhodki ima družba </w:t>
      </w:r>
      <w:r w:rsidR="006440A3">
        <w:rPr>
          <w:rFonts w:ascii="Open Sans" w:hAnsi="Open Sans" w:cs="Open Sans"/>
          <w:sz w:val="20"/>
          <w:szCs w:val="20"/>
        </w:rPr>
        <w:t xml:space="preserve">skupaj </w:t>
      </w:r>
      <w:r>
        <w:rPr>
          <w:rFonts w:ascii="Open Sans" w:hAnsi="Open Sans" w:cs="Open Sans"/>
          <w:sz w:val="20"/>
          <w:szCs w:val="20"/>
        </w:rPr>
        <w:t>157</w:t>
      </w:r>
      <w:r w:rsidR="007F54CE">
        <w:rPr>
          <w:rFonts w:ascii="Open Sans" w:hAnsi="Open Sans" w:cs="Open Sans"/>
          <w:sz w:val="20"/>
          <w:szCs w:val="20"/>
        </w:rPr>
        <w:t>.762</w:t>
      </w:r>
      <w:r>
        <w:rPr>
          <w:rFonts w:ascii="Open Sans" w:hAnsi="Open Sans" w:cs="Open Sans"/>
          <w:sz w:val="20"/>
          <w:szCs w:val="20"/>
        </w:rPr>
        <w:t xml:space="preserve"> EUR odhodkov iz naslova </w:t>
      </w:r>
      <w:r w:rsidR="007F54CE">
        <w:rPr>
          <w:rFonts w:ascii="Open Sans" w:hAnsi="Open Sans" w:cs="Open Sans"/>
          <w:sz w:val="20"/>
          <w:szCs w:val="20"/>
        </w:rPr>
        <w:t xml:space="preserve">odpisa najemnin, od tega znašajo odpisi najemnin družbam v skupini 128.573 EUR (1-6 2021; 37.160 EUR), ter odpisi najemnin preostalim najemnikom </w:t>
      </w:r>
      <w:r w:rsidR="0015149A">
        <w:rPr>
          <w:rFonts w:ascii="Open Sans" w:hAnsi="Open Sans" w:cs="Open Sans"/>
          <w:sz w:val="20"/>
          <w:szCs w:val="20"/>
        </w:rPr>
        <w:t>v višini 29.189 EUR (1-6 2021; 54.215 EUR)</w:t>
      </w:r>
      <w:r w:rsidR="006440A3">
        <w:rPr>
          <w:rFonts w:ascii="Open Sans" w:hAnsi="Open Sans" w:cs="Open Sans"/>
          <w:sz w:val="20"/>
          <w:szCs w:val="20"/>
        </w:rPr>
        <w:t>.</w:t>
      </w:r>
    </w:p>
    <w:p w14:paraId="2FA63218" w14:textId="4DDEE582" w:rsidR="00EA7734" w:rsidRDefault="00EA7734" w:rsidP="00A37D3A">
      <w:pPr>
        <w:jc w:val="both"/>
        <w:rPr>
          <w:rFonts w:ascii="Open Sans" w:hAnsi="Open Sans" w:cs="Open Sans"/>
          <w:sz w:val="20"/>
          <w:szCs w:val="20"/>
        </w:rPr>
      </w:pPr>
      <w:r w:rsidRPr="00EA7734">
        <w:rPr>
          <w:rFonts w:ascii="Open Sans" w:hAnsi="Open Sans" w:cs="Open Sans"/>
          <w:sz w:val="20"/>
          <w:szCs w:val="20"/>
        </w:rPr>
        <w:t>Kot povezane osebe družbe Nama d.d. Ljubljana na 3</w:t>
      </w:r>
      <w:r>
        <w:rPr>
          <w:rFonts w:ascii="Open Sans" w:hAnsi="Open Sans" w:cs="Open Sans"/>
          <w:sz w:val="20"/>
          <w:szCs w:val="20"/>
        </w:rPr>
        <w:t>0</w:t>
      </w:r>
      <w:r w:rsidRPr="00EA7734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>6</w:t>
      </w:r>
      <w:r w:rsidRPr="00EA7734">
        <w:rPr>
          <w:rFonts w:ascii="Open Sans" w:hAnsi="Open Sans" w:cs="Open Sans"/>
          <w:sz w:val="20"/>
          <w:szCs w:val="20"/>
        </w:rPr>
        <w:t>.202</w:t>
      </w:r>
      <w:r>
        <w:rPr>
          <w:rFonts w:ascii="Open Sans" w:hAnsi="Open Sans" w:cs="Open Sans"/>
          <w:sz w:val="20"/>
          <w:szCs w:val="20"/>
        </w:rPr>
        <w:t>2</w:t>
      </w:r>
      <w:r w:rsidRPr="00EA7734">
        <w:rPr>
          <w:rFonts w:ascii="Open Sans" w:hAnsi="Open Sans" w:cs="Open Sans"/>
          <w:sz w:val="20"/>
          <w:szCs w:val="20"/>
        </w:rPr>
        <w:t xml:space="preserve"> smo opredelili družbe v Skupini Nama, družbe v Skupini Triglav in družbe v Skupini Generali.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A7734">
        <w:rPr>
          <w:rFonts w:ascii="Open Sans" w:hAnsi="Open Sans" w:cs="Open Sans"/>
          <w:sz w:val="20"/>
          <w:szCs w:val="20"/>
        </w:rPr>
        <w:t>Povezane osebe družbe so tudi člani organov vodenja in nadzora in z njimi povezane osebe, kot to določa MRS 24.</w:t>
      </w:r>
    </w:p>
    <w:p w14:paraId="0E54DB76" w14:textId="6CEC90F0" w:rsidR="004F0982" w:rsidRDefault="00EA7734" w:rsidP="00A37D3A">
      <w:pPr>
        <w:jc w:val="both"/>
        <w:rPr>
          <w:rFonts w:ascii="Open Sans" w:hAnsi="Open Sans" w:cs="Open Sans"/>
          <w:sz w:val="20"/>
          <w:szCs w:val="20"/>
        </w:rPr>
      </w:pPr>
      <w:r w:rsidRPr="00EA7734">
        <w:rPr>
          <w:rFonts w:ascii="Open Sans" w:hAnsi="Open Sans" w:cs="Open Sans"/>
          <w:sz w:val="20"/>
          <w:szCs w:val="20"/>
        </w:rPr>
        <w:t xml:space="preserve">Posli med družbami v Skupini Nama </w:t>
      </w:r>
      <w:r>
        <w:rPr>
          <w:rFonts w:ascii="Open Sans" w:hAnsi="Open Sans" w:cs="Open Sans"/>
          <w:sz w:val="20"/>
          <w:szCs w:val="20"/>
        </w:rPr>
        <w:t xml:space="preserve">v prvem polletju 2022 </w:t>
      </w:r>
      <w:r w:rsidRPr="00EA7734">
        <w:rPr>
          <w:rFonts w:ascii="Open Sans" w:hAnsi="Open Sans" w:cs="Open Sans"/>
          <w:sz w:val="20"/>
          <w:szCs w:val="20"/>
        </w:rPr>
        <w:t>so prikazani v spodnji tabeli</w:t>
      </w:r>
      <w:r w:rsidR="00BD58B5">
        <w:rPr>
          <w:rFonts w:ascii="Open Sans" w:hAnsi="Open Sans" w:cs="Open Sans"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251"/>
        <w:gridCol w:w="1252"/>
        <w:gridCol w:w="1252"/>
        <w:gridCol w:w="1252"/>
      </w:tblGrid>
      <w:tr w:rsidR="00226B38" w:rsidRPr="00226B38" w14:paraId="3CC65FC4" w14:textId="77777777" w:rsidTr="00226B38">
        <w:trPr>
          <w:trHeight w:val="283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43D78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06D1B3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Nama IN d.o.o.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A7A734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Grefino d.o.o.</w:t>
            </w:r>
          </w:p>
        </w:tc>
      </w:tr>
      <w:tr w:rsidR="00226B38" w:rsidRPr="00226B38" w14:paraId="0F786290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4AEEF" w14:textId="6BE2D1CC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PRIHODKI IN ODHODKI V OBD</w:t>
            </w:r>
            <w:r w:rsidR="005A0B23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O</w:t>
            </w: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BJU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7BA4D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1-6 2022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2EDA5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1-6 2021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3AC54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1-6 2022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7071A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1-6 2021</w:t>
            </w:r>
          </w:p>
        </w:tc>
      </w:tr>
      <w:tr w:rsidR="00226B38" w:rsidRPr="00226B38" w14:paraId="3D840E53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A5E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Prihodki od najemnin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9A3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440.996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29D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440.996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370D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18.083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BA5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18.792</w:t>
            </w:r>
          </w:p>
        </w:tc>
      </w:tr>
      <w:tr w:rsidR="00226B38" w:rsidRPr="00226B38" w14:paraId="290A6DA7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7A3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Prihodki od zaračunanih obratovalnih stroškov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97C0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58.254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227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58.525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051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E94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636</w:t>
            </w:r>
          </w:p>
        </w:tc>
      </w:tr>
      <w:tr w:rsidR="00226B38" w:rsidRPr="00226B38" w14:paraId="7F90F987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67C1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Prihodki od podpore poslovanju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08C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3.783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5DB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6.350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B15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6D61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226B38" w:rsidRPr="00226B38" w14:paraId="7EBAB125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155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Odhodki iz odpisa najemnin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C4B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122.192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212C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33.260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C5A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6.381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A98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3.900</w:t>
            </w:r>
          </w:p>
        </w:tc>
      </w:tr>
      <w:tr w:rsidR="00226B38" w:rsidRPr="00226B38" w14:paraId="3398B72A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707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Stroški podpore poslovanju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EADC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45.000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24E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45.000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FA5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6775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  <w:tr w:rsidR="00226B38" w:rsidRPr="00226B38" w14:paraId="5B50681E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7A0ED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TERJATVE IN OBVEZNOSTI NA DAN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54F56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30.06.2022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1424D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31.12.2021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95652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30.06.2022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1532C" w14:textId="77777777" w:rsidR="00226B38" w:rsidRPr="00226B38" w:rsidRDefault="00226B38" w:rsidP="00226B3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31.12.2021</w:t>
            </w:r>
          </w:p>
        </w:tc>
      </w:tr>
      <w:tr w:rsidR="00226B38" w:rsidRPr="00226B38" w14:paraId="19CC8075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C63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Terjatve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749D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529.126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BED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176.891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21E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329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568</w:t>
            </w:r>
          </w:p>
        </w:tc>
      </w:tr>
      <w:tr w:rsidR="00226B38" w:rsidRPr="00226B38" w14:paraId="7A1D3BBC" w14:textId="77777777" w:rsidTr="00226B38">
        <w:trPr>
          <w:trHeight w:val="283"/>
        </w:trPr>
        <w:tc>
          <w:tcPr>
            <w:tcW w:w="21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C3B2" w14:textId="77777777" w:rsidR="00226B38" w:rsidRPr="00226B38" w:rsidRDefault="00226B38" w:rsidP="00226B3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Obveznosti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089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10.833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EB0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38.193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4463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3.500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AA0" w14:textId="77777777" w:rsidR="00226B38" w:rsidRPr="00226B38" w:rsidRDefault="00226B38" w:rsidP="00226B38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226B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0</w:t>
            </w:r>
          </w:p>
        </w:tc>
      </w:tr>
    </w:tbl>
    <w:p w14:paraId="06CC743B" w14:textId="73EC5F9E" w:rsidR="00BD58B5" w:rsidRDefault="00BD58B5" w:rsidP="00A37D3A">
      <w:pPr>
        <w:jc w:val="both"/>
        <w:rPr>
          <w:rFonts w:ascii="Open Sans" w:hAnsi="Open Sans" w:cs="Open Sans"/>
          <w:sz w:val="20"/>
          <w:szCs w:val="20"/>
        </w:rPr>
      </w:pPr>
    </w:p>
    <w:p w14:paraId="4E1D2357" w14:textId="1983CC91" w:rsidR="00247761" w:rsidRDefault="00247761" w:rsidP="00A37D3A">
      <w:pPr>
        <w:jc w:val="both"/>
        <w:rPr>
          <w:rFonts w:ascii="Open Sans" w:hAnsi="Open Sans" w:cs="Open Sans"/>
          <w:sz w:val="20"/>
          <w:szCs w:val="20"/>
        </w:rPr>
      </w:pPr>
      <w:r w:rsidRPr="00247761">
        <w:rPr>
          <w:rFonts w:ascii="Open Sans" w:hAnsi="Open Sans" w:cs="Open Sans"/>
          <w:sz w:val="20"/>
          <w:szCs w:val="20"/>
        </w:rPr>
        <w:t xml:space="preserve">Prihodki in stroški, ustvarjeni </w:t>
      </w:r>
      <w:r>
        <w:rPr>
          <w:rFonts w:ascii="Open Sans" w:hAnsi="Open Sans" w:cs="Open Sans"/>
          <w:sz w:val="20"/>
          <w:szCs w:val="20"/>
        </w:rPr>
        <w:t>v prvem polletju 2022,</w:t>
      </w:r>
      <w:r w:rsidRPr="00247761">
        <w:rPr>
          <w:rFonts w:ascii="Open Sans" w:hAnsi="Open Sans" w:cs="Open Sans"/>
          <w:sz w:val="20"/>
          <w:szCs w:val="20"/>
        </w:rPr>
        <w:t xml:space="preserve"> s povezanimi družbami v Skupinah Triglav in Generali, so nepomembni z vidika računovodskih izkazov družbe Nama d.d. Ljubljana.</w:t>
      </w:r>
    </w:p>
    <w:p w14:paraId="704B8F3E" w14:textId="77777777" w:rsidR="00146865" w:rsidRPr="00992E71" w:rsidRDefault="00146865" w:rsidP="00A37D3A">
      <w:pPr>
        <w:jc w:val="both"/>
        <w:rPr>
          <w:rFonts w:ascii="Open Sans" w:hAnsi="Open Sans" w:cs="Open Sans"/>
          <w:sz w:val="20"/>
          <w:szCs w:val="20"/>
        </w:rPr>
      </w:pPr>
    </w:p>
    <w:p w14:paraId="0BCEED65" w14:textId="77777777" w:rsidR="00831322" w:rsidRPr="00992E71" w:rsidRDefault="00831322" w:rsidP="0083132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Pomembnejši poslovni dogodki po presečnem datumu</w:t>
      </w:r>
    </w:p>
    <w:p w14:paraId="3628E549" w14:textId="3049B8BA" w:rsidR="00C42AC1" w:rsidRDefault="00831322" w:rsidP="00C42AC1">
      <w:pPr>
        <w:jc w:val="both"/>
        <w:rPr>
          <w:rFonts w:ascii="Open Sans" w:hAnsi="Open Sans" w:cs="Open Sans"/>
          <w:sz w:val="20"/>
          <w:szCs w:val="20"/>
        </w:rPr>
      </w:pPr>
      <w:r w:rsidRPr="00E81EC3">
        <w:rPr>
          <w:rFonts w:ascii="Open Sans" w:hAnsi="Open Sans" w:cs="Open Sans"/>
          <w:sz w:val="20"/>
          <w:szCs w:val="20"/>
        </w:rPr>
        <w:t xml:space="preserve">V času po presečnem datumu in do datuma objave tega poročila ni prišlo do </w:t>
      </w:r>
      <w:r w:rsidR="007F5D46">
        <w:rPr>
          <w:rFonts w:ascii="Open Sans" w:hAnsi="Open Sans" w:cs="Open Sans"/>
          <w:sz w:val="20"/>
          <w:szCs w:val="20"/>
        </w:rPr>
        <w:t xml:space="preserve">drugih </w:t>
      </w:r>
      <w:r w:rsidRPr="00E81EC3">
        <w:rPr>
          <w:rFonts w:ascii="Open Sans" w:hAnsi="Open Sans" w:cs="Open Sans"/>
          <w:sz w:val="20"/>
          <w:szCs w:val="20"/>
        </w:rPr>
        <w:t>dogodkov, ki bi pomembno vplivali na računovodske izk</w:t>
      </w:r>
      <w:r w:rsidR="001E7588" w:rsidRPr="00E81EC3">
        <w:rPr>
          <w:rFonts w:ascii="Open Sans" w:hAnsi="Open Sans" w:cs="Open Sans"/>
          <w:sz w:val="20"/>
          <w:szCs w:val="20"/>
        </w:rPr>
        <w:t>aze družbe po s</w:t>
      </w:r>
      <w:r w:rsidR="00F81544" w:rsidRPr="00E81EC3">
        <w:rPr>
          <w:rFonts w:ascii="Open Sans" w:hAnsi="Open Sans" w:cs="Open Sans"/>
          <w:sz w:val="20"/>
          <w:szCs w:val="20"/>
        </w:rPr>
        <w:t>tanju na dan 30.6</w:t>
      </w:r>
      <w:r w:rsidRPr="00E81EC3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="00F81544" w:rsidRPr="00E81EC3">
        <w:rPr>
          <w:rFonts w:ascii="Open Sans" w:hAnsi="Open Sans" w:cs="Open Sans"/>
          <w:sz w:val="20"/>
          <w:szCs w:val="20"/>
        </w:rPr>
        <w:t xml:space="preserve"> oz. za obdobje 1.1. do 30.6</w:t>
      </w:r>
      <w:r w:rsidR="003B3D3B" w:rsidRPr="00E81EC3">
        <w:rPr>
          <w:rFonts w:ascii="Open Sans" w:hAnsi="Open Sans" w:cs="Open Sans"/>
          <w:sz w:val="20"/>
          <w:szCs w:val="20"/>
        </w:rPr>
        <w:t>.</w:t>
      </w:r>
      <w:r w:rsidR="00913974">
        <w:rPr>
          <w:rFonts w:ascii="Open Sans" w:hAnsi="Open Sans" w:cs="Open Sans"/>
          <w:sz w:val="20"/>
          <w:szCs w:val="20"/>
        </w:rPr>
        <w:t>2022</w:t>
      </w:r>
      <w:r w:rsidRPr="00E81EC3">
        <w:rPr>
          <w:rFonts w:ascii="Open Sans" w:hAnsi="Open Sans" w:cs="Open Sans"/>
          <w:sz w:val="20"/>
          <w:szCs w:val="20"/>
        </w:rPr>
        <w:t>.</w:t>
      </w:r>
    </w:p>
    <w:p w14:paraId="3AA384D2" w14:textId="77777777" w:rsidR="00C42AC1" w:rsidRDefault="00C42AC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627AB007" w14:textId="77777777" w:rsidR="00C42AC1" w:rsidRPr="004F0982" w:rsidRDefault="00C42AC1" w:rsidP="00C42AC1">
      <w:pPr>
        <w:jc w:val="both"/>
        <w:rPr>
          <w:rFonts w:ascii="Open Sans" w:hAnsi="Open Sans" w:cs="Open Sans"/>
          <w:sz w:val="20"/>
          <w:szCs w:val="20"/>
        </w:rPr>
      </w:pPr>
    </w:p>
    <w:p w14:paraId="6164EFD9" w14:textId="6BC9704D" w:rsidR="00BB19A1" w:rsidRPr="0067508B" w:rsidRDefault="00BB19A1" w:rsidP="00BB19A1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67508B">
        <w:rPr>
          <w:rFonts w:ascii="Open Sans" w:hAnsi="Open Sans" w:cs="Open Sans"/>
          <w:b/>
          <w:sz w:val="24"/>
          <w:szCs w:val="24"/>
        </w:rPr>
        <w:t>IZJAVA O ODGOVORNOSTI UPRAVE</w:t>
      </w:r>
    </w:p>
    <w:p w14:paraId="36E9BFCD" w14:textId="29E63A41" w:rsidR="001B2EC4" w:rsidRPr="00992E71" w:rsidRDefault="00BB19A1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  </w:t>
      </w:r>
      <w:r w:rsidR="00BC07CE">
        <w:rPr>
          <w:noProof/>
        </w:rPr>
        <w:drawing>
          <wp:inline distT="0" distB="0" distL="0" distR="0" wp14:anchorId="12829F3F" wp14:editId="5C6F527D">
            <wp:extent cx="5626255" cy="8020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8351" cy="802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EC4" w:rsidRPr="00992E71" w:rsidSect="00377311">
      <w:footerReference w:type="default" r:id="rId13"/>
      <w:pgSz w:w="11906" w:h="16838"/>
      <w:pgMar w:top="1276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6D7C" w14:textId="77777777" w:rsidR="0056033F" w:rsidRDefault="0056033F" w:rsidP="00FC4DF2">
      <w:pPr>
        <w:spacing w:after="0" w:line="240" w:lineRule="auto"/>
      </w:pPr>
      <w:r>
        <w:separator/>
      </w:r>
    </w:p>
  </w:endnote>
  <w:endnote w:type="continuationSeparator" w:id="0">
    <w:p w14:paraId="58DC3583" w14:textId="77777777" w:rsidR="0056033F" w:rsidRDefault="0056033F" w:rsidP="00FC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483964"/>
      <w:docPartObj>
        <w:docPartGallery w:val="Page Numbers (Bottom of Page)"/>
        <w:docPartUnique/>
      </w:docPartObj>
    </w:sdtPr>
    <w:sdtContent>
      <w:p w14:paraId="6C210F41" w14:textId="578B1D90" w:rsidR="001B5F6A" w:rsidRDefault="001B5F6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F4626" w14:textId="77777777" w:rsidR="001B5F6A" w:rsidRDefault="001B5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2200" w14:textId="77777777" w:rsidR="0056033F" w:rsidRDefault="0056033F" w:rsidP="00FC4DF2">
      <w:pPr>
        <w:spacing w:after="0" w:line="240" w:lineRule="auto"/>
      </w:pPr>
      <w:r>
        <w:separator/>
      </w:r>
    </w:p>
  </w:footnote>
  <w:footnote w:type="continuationSeparator" w:id="0">
    <w:p w14:paraId="7A58D444" w14:textId="77777777" w:rsidR="0056033F" w:rsidRDefault="0056033F" w:rsidP="00FC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0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9181C"/>
    <w:multiLevelType w:val="hybridMultilevel"/>
    <w:tmpl w:val="9D229648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3A94D30A">
      <w:start w:val="1"/>
      <w:numFmt w:val="lowerLetter"/>
      <w:lvlText w:val="%2."/>
      <w:lvlJc w:val="left"/>
      <w:pPr>
        <w:ind w:left="1700" w:hanging="284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28E17F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E075A9"/>
    <w:multiLevelType w:val="hybridMultilevel"/>
    <w:tmpl w:val="39A83CE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E48F5"/>
    <w:multiLevelType w:val="hybridMultilevel"/>
    <w:tmpl w:val="343E8F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731"/>
    <w:multiLevelType w:val="hybridMultilevel"/>
    <w:tmpl w:val="424E1BB8"/>
    <w:lvl w:ilvl="0" w:tplc="140EA422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6E3"/>
    <w:multiLevelType w:val="hybridMultilevel"/>
    <w:tmpl w:val="C7C096EA"/>
    <w:lvl w:ilvl="0" w:tplc="4C04A36A">
      <w:start w:val="1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5C58"/>
    <w:multiLevelType w:val="multilevel"/>
    <w:tmpl w:val="0D885594"/>
    <w:numStyleLink w:val="Slog1"/>
  </w:abstractNum>
  <w:abstractNum w:abstractNumId="8" w15:restartNumberingAfterBreak="0">
    <w:nsid w:val="4C1D3582"/>
    <w:multiLevelType w:val="hybridMultilevel"/>
    <w:tmpl w:val="B1F0EDB8"/>
    <w:lvl w:ilvl="0" w:tplc="7E502938">
      <w:start w:val="3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C2E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C5681E"/>
    <w:multiLevelType w:val="hybridMultilevel"/>
    <w:tmpl w:val="04EE6E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C4679"/>
    <w:multiLevelType w:val="multilevel"/>
    <w:tmpl w:val="49ACE064"/>
    <w:lvl w:ilvl="0">
      <w:start w:val="1"/>
      <w:numFmt w:val="decimal"/>
      <w:pStyle w:val="NaslovTOC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C430FD"/>
    <w:multiLevelType w:val="multilevel"/>
    <w:tmpl w:val="0D885594"/>
    <w:styleLink w:val="Slog1"/>
    <w:lvl w:ilvl="0">
      <w:start w:val="1"/>
      <w:numFmt w:val="decimal"/>
      <w:pStyle w:val="Slo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D065DF"/>
    <w:multiLevelType w:val="hybridMultilevel"/>
    <w:tmpl w:val="5CB4CC2A"/>
    <w:lvl w:ilvl="0" w:tplc="1B3C2644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549A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357D78"/>
    <w:multiLevelType w:val="hybridMultilevel"/>
    <w:tmpl w:val="02C21362"/>
    <w:lvl w:ilvl="0" w:tplc="2CCABD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9DE"/>
    <w:multiLevelType w:val="multilevel"/>
    <w:tmpl w:val="FB904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F0E055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6937888">
    <w:abstractNumId w:val="13"/>
  </w:num>
  <w:num w:numId="2" w16cid:durableId="597913482">
    <w:abstractNumId w:val="5"/>
  </w:num>
  <w:num w:numId="3" w16cid:durableId="2108192544">
    <w:abstractNumId w:val="1"/>
  </w:num>
  <w:num w:numId="4" w16cid:durableId="1366716863">
    <w:abstractNumId w:val="17"/>
  </w:num>
  <w:num w:numId="5" w16cid:durableId="1063024211">
    <w:abstractNumId w:val="2"/>
  </w:num>
  <w:num w:numId="6" w16cid:durableId="123042206">
    <w:abstractNumId w:val="14"/>
  </w:num>
  <w:num w:numId="7" w16cid:durableId="1029531917">
    <w:abstractNumId w:val="0"/>
  </w:num>
  <w:num w:numId="8" w16cid:durableId="480460627">
    <w:abstractNumId w:val="4"/>
  </w:num>
  <w:num w:numId="9" w16cid:durableId="1811437494">
    <w:abstractNumId w:val="3"/>
  </w:num>
  <w:num w:numId="10" w16cid:durableId="148862498">
    <w:abstractNumId w:val="16"/>
  </w:num>
  <w:num w:numId="11" w16cid:durableId="731778605">
    <w:abstractNumId w:val="9"/>
  </w:num>
  <w:num w:numId="12" w16cid:durableId="1079138358">
    <w:abstractNumId w:val="7"/>
  </w:num>
  <w:num w:numId="13" w16cid:durableId="686324448">
    <w:abstractNumId w:val="8"/>
  </w:num>
  <w:num w:numId="14" w16cid:durableId="1363550659">
    <w:abstractNumId w:val="6"/>
  </w:num>
  <w:num w:numId="15" w16cid:durableId="563640316">
    <w:abstractNumId w:val="15"/>
  </w:num>
  <w:num w:numId="16" w16cid:durableId="1989360543">
    <w:abstractNumId w:val="10"/>
  </w:num>
  <w:num w:numId="17" w16cid:durableId="1966889004">
    <w:abstractNumId w:val="11"/>
  </w:num>
  <w:num w:numId="18" w16cid:durableId="1869177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22"/>
    <w:rsid w:val="000003BE"/>
    <w:rsid w:val="00000973"/>
    <w:rsid w:val="000013EE"/>
    <w:rsid w:val="00001BB6"/>
    <w:rsid w:val="0000317F"/>
    <w:rsid w:val="0000338C"/>
    <w:rsid w:val="000038D2"/>
    <w:rsid w:val="00003DBD"/>
    <w:rsid w:val="00005734"/>
    <w:rsid w:val="00007141"/>
    <w:rsid w:val="0000742F"/>
    <w:rsid w:val="00007520"/>
    <w:rsid w:val="0001047E"/>
    <w:rsid w:val="00010632"/>
    <w:rsid w:val="000109E6"/>
    <w:rsid w:val="000112F3"/>
    <w:rsid w:val="00013663"/>
    <w:rsid w:val="00014274"/>
    <w:rsid w:val="00015D20"/>
    <w:rsid w:val="0001621B"/>
    <w:rsid w:val="00016733"/>
    <w:rsid w:val="00016A18"/>
    <w:rsid w:val="00016ECF"/>
    <w:rsid w:val="0001713F"/>
    <w:rsid w:val="00020C24"/>
    <w:rsid w:val="0002110E"/>
    <w:rsid w:val="000213D7"/>
    <w:rsid w:val="0002170F"/>
    <w:rsid w:val="00021A9C"/>
    <w:rsid w:val="00024262"/>
    <w:rsid w:val="0002456C"/>
    <w:rsid w:val="00024CCB"/>
    <w:rsid w:val="000254BC"/>
    <w:rsid w:val="00026860"/>
    <w:rsid w:val="00026EB9"/>
    <w:rsid w:val="000301BE"/>
    <w:rsid w:val="00030B49"/>
    <w:rsid w:val="000313B1"/>
    <w:rsid w:val="00031BD8"/>
    <w:rsid w:val="00031F3B"/>
    <w:rsid w:val="0003253E"/>
    <w:rsid w:val="00033355"/>
    <w:rsid w:val="0003385A"/>
    <w:rsid w:val="000344A8"/>
    <w:rsid w:val="00034A61"/>
    <w:rsid w:val="00034EB8"/>
    <w:rsid w:val="00035A0F"/>
    <w:rsid w:val="000363B2"/>
    <w:rsid w:val="000365F1"/>
    <w:rsid w:val="00036D74"/>
    <w:rsid w:val="0003766C"/>
    <w:rsid w:val="00040332"/>
    <w:rsid w:val="00041127"/>
    <w:rsid w:val="00041A10"/>
    <w:rsid w:val="000434F1"/>
    <w:rsid w:val="00044201"/>
    <w:rsid w:val="00044ABB"/>
    <w:rsid w:val="00045166"/>
    <w:rsid w:val="00046DA4"/>
    <w:rsid w:val="000502F0"/>
    <w:rsid w:val="000507C4"/>
    <w:rsid w:val="00050C37"/>
    <w:rsid w:val="00050E4D"/>
    <w:rsid w:val="00051A8F"/>
    <w:rsid w:val="00051FA1"/>
    <w:rsid w:val="000521A5"/>
    <w:rsid w:val="000523BA"/>
    <w:rsid w:val="000528B2"/>
    <w:rsid w:val="00053752"/>
    <w:rsid w:val="00055128"/>
    <w:rsid w:val="00055765"/>
    <w:rsid w:val="00055B28"/>
    <w:rsid w:val="000561D6"/>
    <w:rsid w:val="000579EB"/>
    <w:rsid w:val="000631C3"/>
    <w:rsid w:val="0006356E"/>
    <w:rsid w:val="000637EE"/>
    <w:rsid w:val="000640E5"/>
    <w:rsid w:val="00064BC2"/>
    <w:rsid w:val="00066017"/>
    <w:rsid w:val="0006692A"/>
    <w:rsid w:val="00066CBA"/>
    <w:rsid w:val="000671A6"/>
    <w:rsid w:val="0006724A"/>
    <w:rsid w:val="00067D94"/>
    <w:rsid w:val="00070EAC"/>
    <w:rsid w:val="00071378"/>
    <w:rsid w:val="00072F91"/>
    <w:rsid w:val="0007373B"/>
    <w:rsid w:val="000754E5"/>
    <w:rsid w:val="00075D28"/>
    <w:rsid w:val="00075F15"/>
    <w:rsid w:val="000776AB"/>
    <w:rsid w:val="0007778E"/>
    <w:rsid w:val="000812EB"/>
    <w:rsid w:val="000816E6"/>
    <w:rsid w:val="00082AD6"/>
    <w:rsid w:val="000848AC"/>
    <w:rsid w:val="00084912"/>
    <w:rsid w:val="00084A9C"/>
    <w:rsid w:val="00084B3A"/>
    <w:rsid w:val="000855F3"/>
    <w:rsid w:val="00085D34"/>
    <w:rsid w:val="000863C6"/>
    <w:rsid w:val="000870FC"/>
    <w:rsid w:val="00087A39"/>
    <w:rsid w:val="0009087D"/>
    <w:rsid w:val="00091358"/>
    <w:rsid w:val="0009204B"/>
    <w:rsid w:val="00092E37"/>
    <w:rsid w:val="00094552"/>
    <w:rsid w:val="00094620"/>
    <w:rsid w:val="00094741"/>
    <w:rsid w:val="0009599C"/>
    <w:rsid w:val="000976DB"/>
    <w:rsid w:val="000A068D"/>
    <w:rsid w:val="000A0B20"/>
    <w:rsid w:val="000A0F75"/>
    <w:rsid w:val="000A1727"/>
    <w:rsid w:val="000A2585"/>
    <w:rsid w:val="000A497B"/>
    <w:rsid w:val="000A49C9"/>
    <w:rsid w:val="000A5BF7"/>
    <w:rsid w:val="000A6120"/>
    <w:rsid w:val="000A63B3"/>
    <w:rsid w:val="000A69A4"/>
    <w:rsid w:val="000A7E9B"/>
    <w:rsid w:val="000B0F66"/>
    <w:rsid w:val="000B1389"/>
    <w:rsid w:val="000B1AAC"/>
    <w:rsid w:val="000B1F7B"/>
    <w:rsid w:val="000B215D"/>
    <w:rsid w:val="000B2292"/>
    <w:rsid w:val="000B2D28"/>
    <w:rsid w:val="000B3B80"/>
    <w:rsid w:val="000B4168"/>
    <w:rsid w:val="000B6572"/>
    <w:rsid w:val="000B7660"/>
    <w:rsid w:val="000B7C20"/>
    <w:rsid w:val="000C03B5"/>
    <w:rsid w:val="000C0713"/>
    <w:rsid w:val="000C09F9"/>
    <w:rsid w:val="000C1536"/>
    <w:rsid w:val="000C2999"/>
    <w:rsid w:val="000C31C0"/>
    <w:rsid w:val="000C3BAA"/>
    <w:rsid w:val="000C3FD8"/>
    <w:rsid w:val="000C6F2D"/>
    <w:rsid w:val="000C7AEF"/>
    <w:rsid w:val="000C7CC8"/>
    <w:rsid w:val="000D0F9C"/>
    <w:rsid w:val="000D3525"/>
    <w:rsid w:val="000D38E0"/>
    <w:rsid w:val="000D63E9"/>
    <w:rsid w:val="000D6E03"/>
    <w:rsid w:val="000D6FAE"/>
    <w:rsid w:val="000E0157"/>
    <w:rsid w:val="000E0A86"/>
    <w:rsid w:val="000E0EFE"/>
    <w:rsid w:val="000E1AF9"/>
    <w:rsid w:val="000E3F55"/>
    <w:rsid w:val="000E4664"/>
    <w:rsid w:val="000E5384"/>
    <w:rsid w:val="000E67D1"/>
    <w:rsid w:val="000E6D4F"/>
    <w:rsid w:val="000E6F6D"/>
    <w:rsid w:val="000F04AB"/>
    <w:rsid w:val="000F0B3A"/>
    <w:rsid w:val="000F2756"/>
    <w:rsid w:val="000F320C"/>
    <w:rsid w:val="000F3A24"/>
    <w:rsid w:val="000F4B42"/>
    <w:rsid w:val="000F54CB"/>
    <w:rsid w:val="000F6F70"/>
    <w:rsid w:val="000F77BD"/>
    <w:rsid w:val="000F7825"/>
    <w:rsid w:val="00100932"/>
    <w:rsid w:val="0010140C"/>
    <w:rsid w:val="0010143D"/>
    <w:rsid w:val="001019F8"/>
    <w:rsid w:val="00102110"/>
    <w:rsid w:val="0010231E"/>
    <w:rsid w:val="001048FD"/>
    <w:rsid w:val="001054DF"/>
    <w:rsid w:val="00105549"/>
    <w:rsid w:val="00105766"/>
    <w:rsid w:val="0010615B"/>
    <w:rsid w:val="00106FB8"/>
    <w:rsid w:val="001072CC"/>
    <w:rsid w:val="00110C03"/>
    <w:rsid w:val="00110D47"/>
    <w:rsid w:val="001115EF"/>
    <w:rsid w:val="001122C5"/>
    <w:rsid w:val="00112E7F"/>
    <w:rsid w:val="00113315"/>
    <w:rsid w:val="0011578F"/>
    <w:rsid w:val="00115F43"/>
    <w:rsid w:val="00120515"/>
    <w:rsid w:val="00120813"/>
    <w:rsid w:val="0012110F"/>
    <w:rsid w:val="00121A0C"/>
    <w:rsid w:val="00121A63"/>
    <w:rsid w:val="00122329"/>
    <w:rsid w:val="00122808"/>
    <w:rsid w:val="00122960"/>
    <w:rsid w:val="00122C4B"/>
    <w:rsid w:val="0012301F"/>
    <w:rsid w:val="00124B08"/>
    <w:rsid w:val="00124D53"/>
    <w:rsid w:val="0012596B"/>
    <w:rsid w:val="001266D0"/>
    <w:rsid w:val="0013176E"/>
    <w:rsid w:val="00132547"/>
    <w:rsid w:val="00132B61"/>
    <w:rsid w:val="0013418A"/>
    <w:rsid w:val="00134C8C"/>
    <w:rsid w:val="00134FC6"/>
    <w:rsid w:val="00135586"/>
    <w:rsid w:val="00136D5C"/>
    <w:rsid w:val="001370C0"/>
    <w:rsid w:val="001376FE"/>
    <w:rsid w:val="00141E8D"/>
    <w:rsid w:val="00142E8E"/>
    <w:rsid w:val="001452BC"/>
    <w:rsid w:val="00146335"/>
    <w:rsid w:val="00146865"/>
    <w:rsid w:val="001469CA"/>
    <w:rsid w:val="001478AB"/>
    <w:rsid w:val="0015020F"/>
    <w:rsid w:val="0015097D"/>
    <w:rsid w:val="00150A8F"/>
    <w:rsid w:val="0015149A"/>
    <w:rsid w:val="001515CE"/>
    <w:rsid w:val="00152E37"/>
    <w:rsid w:val="00152F80"/>
    <w:rsid w:val="0015319E"/>
    <w:rsid w:val="001537FA"/>
    <w:rsid w:val="00153843"/>
    <w:rsid w:val="001543EC"/>
    <w:rsid w:val="00154406"/>
    <w:rsid w:val="00154BFA"/>
    <w:rsid w:val="00154F32"/>
    <w:rsid w:val="00155BE9"/>
    <w:rsid w:val="00156883"/>
    <w:rsid w:val="00156B89"/>
    <w:rsid w:val="00156ECF"/>
    <w:rsid w:val="001607B4"/>
    <w:rsid w:val="00160AAE"/>
    <w:rsid w:val="001622AC"/>
    <w:rsid w:val="00164523"/>
    <w:rsid w:val="00164CF8"/>
    <w:rsid w:val="00165CE6"/>
    <w:rsid w:val="0016609E"/>
    <w:rsid w:val="00166CED"/>
    <w:rsid w:val="001719E8"/>
    <w:rsid w:val="001758F7"/>
    <w:rsid w:val="001772C9"/>
    <w:rsid w:val="00180807"/>
    <w:rsid w:val="00182835"/>
    <w:rsid w:val="00183B7B"/>
    <w:rsid w:val="00183D00"/>
    <w:rsid w:val="00184826"/>
    <w:rsid w:val="00184B82"/>
    <w:rsid w:val="00190266"/>
    <w:rsid w:val="001905B1"/>
    <w:rsid w:val="00190A49"/>
    <w:rsid w:val="00190BF4"/>
    <w:rsid w:val="00190BFB"/>
    <w:rsid w:val="00192BFD"/>
    <w:rsid w:val="00192EFA"/>
    <w:rsid w:val="001931E8"/>
    <w:rsid w:val="001945D6"/>
    <w:rsid w:val="00194A6A"/>
    <w:rsid w:val="0019595D"/>
    <w:rsid w:val="00195C15"/>
    <w:rsid w:val="001975CD"/>
    <w:rsid w:val="001A10E5"/>
    <w:rsid w:val="001A2004"/>
    <w:rsid w:val="001A2DB4"/>
    <w:rsid w:val="001A3C48"/>
    <w:rsid w:val="001A4194"/>
    <w:rsid w:val="001A4A3C"/>
    <w:rsid w:val="001A50AB"/>
    <w:rsid w:val="001A5FDA"/>
    <w:rsid w:val="001A5FE5"/>
    <w:rsid w:val="001A60B8"/>
    <w:rsid w:val="001A683B"/>
    <w:rsid w:val="001A71A4"/>
    <w:rsid w:val="001B03A5"/>
    <w:rsid w:val="001B16D8"/>
    <w:rsid w:val="001B1E97"/>
    <w:rsid w:val="001B2EC4"/>
    <w:rsid w:val="001B4726"/>
    <w:rsid w:val="001B474C"/>
    <w:rsid w:val="001B5E44"/>
    <w:rsid w:val="001B5F6A"/>
    <w:rsid w:val="001C0786"/>
    <w:rsid w:val="001C13F7"/>
    <w:rsid w:val="001C16D7"/>
    <w:rsid w:val="001C38F4"/>
    <w:rsid w:val="001C42FF"/>
    <w:rsid w:val="001C43E9"/>
    <w:rsid w:val="001C5060"/>
    <w:rsid w:val="001C5A39"/>
    <w:rsid w:val="001C6065"/>
    <w:rsid w:val="001C6D20"/>
    <w:rsid w:val="001D0A8E"/>
    <w:rsid w:val="001D0FB8"/>
    <w:rsid w:val="001D177B"/>
    <w:rsid w:val="001D220F"/>
    <w:rsid w:val="001D2817"/>
    <w:rsid w:val="001D34AB"/>
    <w:rsid w:val="001D3701"/>
    <w:rsid w:val="001D3A1D"/>
    <w:rsid w:val="001D3E8D"/>
    <w:rsid w:val="001E02F9"/>
    <w:rsid w:val="001E05EE"/>
    <w:rsid w:val="001E0630"/>
    <w:rsid w:val="001E0B1F"/>
    <w:rsid w:val="001E0C42"/>
    <w:rsid w:val="001E0FB2"/>
    <w:rsid w:val="001E1F5D"/>
    <w:rsid w:val="001E25A7"/>
    <w:rsid w:val="001E2F62"/>
    <w:rsid w:val="001E2F7D"/>
    <w:rsid w:val="001E3276"/>
    <w:rsid w:val="001E3CDE"/>
    <w:rsid w:val="001E53A7"/>
    <w:rsid w:val="001E56F7"/>
    <w:rsid w:val="001E5ABE"/>
    <w:rsid w:val="001E6A28"/>
    <w:rsid w:val="001E7588"/>
    <w:rsid w:val="001F19E6"/>
    <w:rsid w:val="001F1E2F"/>
    <w:rsid w:val="001F25AB"/>
    <w:rsid w:val="001F27FB"/>
    <w:rsid w:val="001F2C60"/>
    <w:rsid w:val="001F35E5"/>
    <w:rsid w:val="001F417F"/>
    <w:rsid w:val="001F4AF1"/>
    <w:rsid w:val="001F5953"/>
    <w:rsid w:val="001F72B8"/>
    <w:rsid w:val="00201E36"/>
    <w:rsid w:val="0020210D"/>
    <w:rsid w:val="0020275E"/>
    <w:rsid w:val="00202A60"/>
    <w:rsid w:val="00202F04"/>
    <w:rsid w:val="0020557F"/>
    <w:rsid w:val="00205621"/>
    <w:rsid w:val="002069C7"/>
    <w:rsid w:val="00206B47"/>
    <w:rsid w:val="00210AFE"/>
    <w:rsid w:val="00211A75"/>
    <w:rsid w:val="00211D0F"/>
    <w:rsid w:val="0021476E"/>
    <w:rsid w:val="00215D35"/>
    <w:rsid w:val="002170AA"/>
    <w:rsid w:val="0022045A"/>
    <w:rsid w:val="00221906"/>
    <w:rsid w:val="00222042"/>
    <w:rsid w:val="00223319"/>
    <w:rsid w:val="00224BB1"/>
    <w:rsid w:val="00225AB5"/>
    <w:rsid w:val="002260CA"/>
    <w:rsid w:val="00226243"/>
    <w:rsid w:val="0022662F"/>
    <w:rsid w:val="00226B38"/>
    <w:rsid w:val="00230BFA"/>
    <w:rsid w:val="00230C37"/>
    <w:rsid w:val="00231733"/>
    <w:rsid w:val="002348E4"/>
    <w:rsid w:val="00235180"/>
    <w:rsid w:val="00235EB5"/>
    <w:rsid w:val="00237951"/>
    <w:rsid w:val="00237F4F"/>
    <w:rsid w:val="00240ECE"/>
    <w:rsid w:val="00241077"/>
    <w:rsid w:val="002413BF"/>
    <w:rsid w:val="0024146C"/>
    <w:rsid w:val="002425DB"/>
    <w:rsid w:val="0024427E"/>
    <w:rsid w:val="00244745"/>
    <w:rsid w:val="00245284"/>
    <w:rsid w:val="00247113"/>
    <w:rsid w:val="002472FE"/>
    <w:rsid w:val="00247761"/>
    <w:rsid w:val="00250BFE"/>
    <w:rsid w:val="00250DE8"/>
    <w:rsid w:val="00250E05"/>
    <w:rsid w:val="00250F70"/>
    <w:rsid w:val="00250FC9"/>
    <w:rsid w:val="002510F4"/>
    <w:rsid w:val="00251B0D"/>
    <w:rsid w:val="00252C79"/>
    <w:rsid w:val="00252EF8"/>
    <w:rsid w:val="0025306B"/>
    <w:rsid w:val="00253746"/>
    <w:rsid w:val="00253AE4"/>
    <w:rsid w:val="00253DB4"/>
    <w:rsid w:val="00253FC9"/>
    <w:rsid w:val="002546F7"/>
    <w:rsid w:val="00254A5C"/>
    <w:rsid w:val="00254B85"/>
    <w:rsid w:val="00254DC6"/>
    <w:rsid w:val="00254F44"/>
    <w:rsid w:val="00256B7C"/>
    <w:rsid w:val="00256E0D"/>
    <w:rsid w:val="00256E66"/>
    <w:rsid w:val="00257220"/>
    <w:rsid w:val="0025760B"/>
    <w:rsid w:val="00257698"/>
    <w:rsid w:val="00257C3D"/>
    <w:rsid w:val="0026053E"/>
    <w:rsid w:val="00260BC0"/>
    <w:rsid w:val="00262129"/>
    <w:rsid w:val="00262326"/>
    <w:rsid w:val="002625E5"/>
    <w:rsid w:val="00262D34"/>
    <w:rsid w:val="0026397F"/>
    <w:rsid w:val="00263CAB"/>
    <w:rsid w:val="00265575"/>
    <w:rsid w:val="00266722"/>
    <w:rsid w:val="00270A0D"/>
    <w:rsid w:val="00270A39"/>
    <w:rsid w:val="00271220"/>
    <w:rsid w:val="00271963"/>
    <w:rsid w:val="00272670"/>
    <w:rsid w:val="00273058"/>
    <w:rsid w:val="00273525"/>
    <w:rsid w:val="002745A5"/>
    <w:rsid w:val="00276C65"/>
    <w:rsid w:val="00277DBF"/>
    <w:rsid w:val="00277E57"/>
    <w:rsid w:val="00280148"/>
    <w:rsid w:val="0028118C"/>
    <w:rsid w:val="00281C82"/>
    <w:rsid w:val="002825E0"/>
    <w:rsid w:val="00283465"/>
    <w:rsid w:val="00283AB7"/>
    <w:rsid w:val="00284CAF"/>
    <w:rsid w:val="002855BC"/>
    <w:rsid w:val="00286135"/>
    <w:rsid w:val="002864CF"/>
    <w:rsid w:val="00286510"/>
    <w:rsid w:val="00286A89"/>
    <w:rsid w:val="00286EA4"/>
    <w:rsid w:val="002913A7"/>
    <w:rsid w:val="00293AB0"/>
    <w:rsid w:val="002945A7"/>
    <w:rsid w:val="0029489F"/>
    <w:rsid w:val="00294C1E"/>
    <w:rsid w:val="00295B53"/>
    <w:rsid w:val="00296FD1"/>
    <w:rsid w:val="00297265"/>
    <w:rsid w:val="0029760B"/>
    <w:rsid w:val="002977A3"/>
    <w:rsid w:val="00297B5A"/>
    <w:rsid w:val="002A0250"/>
    <w:rsid w:val="002A034A"/>
    <w:rsid w:val="002A03A0"/>
    <w:rsid w:val="002A082F"/>
    <w:rsid w:val="002A0DB3"/>
    <w:rsid w:val="002A40D9"/>
    <w:rsid w:val="002A50B1"/>
    <w:rsid w:val="002A5427"/>
    <w:rsid w:val="002A5F29"/>
    <w:rsid w:val="002A63E4"/>
    <w:rsid w:val="002A6760"/>
    <w:rsid w:val="002A7059"/>
    <w:rsid w:val="002A7A98"/>
    <w:rsid w:val="002B02E3"/>
    <w:rsid w:val="002B0D8E"/>
    <w:rsid w:val="002B1122"/>
    <w:rsid w:val="002B1A75"/>
    <w:rsid w:val="002B2612"/>
    <w:rsid w:val="002B286D"/>
    <w:rsid w:val="002B3277"/>
    <w:rsid w:val="002B3C75"/>
    <w:rsid w:val="002B53A1"/>
    <w:rsid w:val="002B59FB"/>
    <w:rsid w:val="002B6AAD"/>
    <w:rsid w:val="002B75B3"/>
    <w:rsid w:val="002C2248"/>
    <w:rsid w:val="002C29A8"/>
    <w:rsid w:val="002C2E45"/>
    <w:rsid w:val="002C2E88"/>
    <w:rsid w:val="002C3F0A"/>
    <w:rsid w:val="002C4F2C"/>
    <w:rsid w:val="002C54B1"/>
    <w:rsid w:val="002C5665"/>
    <w:rsid w:val="002C6995"/>
    <w:rsid w:val="002C6B1D"/>
    <w:rsid w:val="002C7298"/>
    <w:rsid w:val="002C7582"/>
    <w:rsid w:val="002C7647"/>
    <w:rsid w:val="002D0072"/>
    <w:rsid w:val="002D2583"/>
    <w:rsid w:val="002D31A2"/>
    <w:rsid w:val="002D3F5F"/>
    <w:rsid w:val="002D5832"/>
    <w:rsid w:val="002D5A43"/>
    <w:rsid w:val="002D5FEC"/>
    <w:rsid w:val="002D7BF1"/>
    <w:rsid w:val="002E0503"/>
    <w:rsid w:val="002E101E"/>
    <w:rsid w:val="002E12B4"/>
    <w:rsid w:val="002E1ACB"/>
    <w:rsid w:val="002E20AB"/>
    <w:rsid w:val="002E23A3"/>
    <w:rsid w:val="002E34DB"/>
    <w:rsid w:val="002E3BB6"/>
    <w:rsid w:val="002E449A"/>
    <w:rsid w:val="002E63A8"/>
    <w:rsid w:val="002E68D3"/>
    <w:rsid w:val="002E7022"/>
    <w:rsid w:val="002E783D"/>
    <w:rsid w:val="002F00CB"/>
    <w:rsid w:val="002F1E0F"/>
    <w:rsid w:val="002F2358"/>
    <w:rsid w:val="002F2513"/>
    <w:rsid w:val="002F3AF6"/>
    <w:rsid w:val="002F3E01"/>
    <w:rsid w:val="002F41AA"/>
    <w:rsid w:val="002F4BA6"/>
    <w:rsid w:val="002F544A"/>
    <w:rsid w:val="002F5AFB"/>
    <w:rsid w:val="002F5B8A"/>
    <w:rsid w:val="002F7E4E"/>
    <w:rsid w:val="0030127D"/>
    <w:rsid w:val="0030138A"/>
    <w:rsid w:val="00301410"/>
    <w:rsid w:val="0030148F"/>
    <w:rsid w:val="003018D8"/>
    <w:rsid w:val="00302A31"/>
    <w:rsid w:val="00302C77"/>
    <w:rsid w:val="0030460E"/>
    <w:rsid w:val="003049C5"/>
    <w:rsid w:val="00305164"/>
    <w:rsid w:val="00305476"/>
    <w:rsid w:val="00307E92"/>
    <w:rsid w:val="003109BE"/>
    <w:rsid w:val="00310E0D"/>
    <w:rsid w:val="003119DA"/>
    <w:rsid w:val="00313AB1"/>
    <w:rsid w:val="0031432D"/>
    <w:rsid w:val="0031453A"/>
    <w:rsid w:val="003146AB"/>
    <w:rsid w:val="00317B68"/>
    <w:rsid w:val="003221C8"/>
    <w:rsid w:val="00324F2C"/>
    <w:rsid w:val="00325F2C"/>
    <w:rsid w:val="00330000"/>
    <w:rsid w:val="003342E8"/>
    <w:rsid w:val="00334592"/>
    <w:rsid w:val="00335089"/>
    <w:rsid w:val="0033691A"/>
    <w:rsid w:val="00340865"/>
    <w:rsid w:val="0034099E"/>
    <w:rsid w:val="00341895"/>
    <w:rsid w:val="003436B6"/>
    <w:rsid w:val="00344011"/>
    <w:rsid w:val="0034427D"/>
    <w:rsid w:val="00344855"/>
    <w:rsid w:val="00344954"/>
    <w:rsid w:val="003464E0"/>
    <w:rsid w:val="00346578"/>
    <w:rsid w:val="00346EBC"/>
    <w:rsid w:val="00346F73"/>
    <w:rsid w:val="00347CA3"/>
    <w:rsid w:val="00350163"/>
    <w:rsid w:val="003507FB"/>
    <w:rsid w:val="00350D13"/>
    <w:rsid w:val="00350EF4"/>
    <w:rsid w:val="00351865"/>
    <w:rsid w:val="00353414"/>
    <w:rsid w:val="00354C21"/>
    <w:rsid w:val="00354CB4"/>
    <w:rsid w:val="003555ED"/>
    <w:rsid w:val="003568D7"/>
    <w:rsid w:val="0035733F"/>
    <w:rsid w:val="0035787E"/>
    <w:rsid w:val="00357E4C"/>
    <w:rsid w:val="003638E2"/>
    <w:rsid w:val="00364023"/>
    <w:rsid w:val="00364488"/>
    <w:rsid w:val="00367465"/>
    <w:rsid w:val="00367C4E"/>
    <w:rsid w:val="00367E71"/>
    <w:rsid w:val="00370914"/>
    <w:rsid w:val="00370993"/>
    <w:rsid w:val="0037320A"/>
    <w:rsid w:val="00374C51"/>
    <w:rsid w:val="0037515D"/>
    <w:rsid w:val="00376E44"/>
    <w:rsid w:val="00377311"/>
    <w:rsid w:val="00377F97"/>
    <w:rsid w:val="00382943"/>
    <w:rsid w:val="00383304"/>
    <w:rsid w:val="00383472"/>
    <w:rsid w:val="0038444F"/>
    <w:rsid w:val="00386111"/>
    <w:rsid w:val="00386BB8"/>
    <w:rsid w:val="003926ED"/>
    <w:rsid w:val="00394C59"/>
    <w:rsid w:val="00396FD6"/>
    <w:rsid w:val="00397667"/>
    <w:rsid w:val="003976B1"/>
    <w:rsid w:val="003A00BA"/>
    <w:rsid w:val="003A0A45"/>
    <w:rsid w:val="003A428E"/>
    <w:rsid w:val="003A464B"/>
    <w:rsid w:val="003A647D"/>
    <w:rsid w:val="003B0379"/>
    <w:rsid w:val="003B196B"/>
    <w:rsid w:val="003B19A6"/>
    <w:rsid w:val="003B3D3B"/>
    <w:rsid w:val="003B4332"/>
    <w:rsid w:val="003B4B02"/>
    <w:rsid w:val="003B4C96"/>
    <w:rsid w:val="003B4DE5"/>
    <w:rsid w:val="003B5F1A"/>
    <w:rsid w:val="003B6015"/>
    <w:rsid w:val="003B64B3"/>
    <w:rsid w:val="003B746A"/>
    <w:rsid w:val="003B786B"/>
    <w:rsid w:val="003C0526"/>
    <w:rsid w:val="003C0F17"/>
    <w:rsid w:val="003C1EC4"/>
    <w:rsid w:val="003C2070"/>
    <w:rsid w:val="003C2FC6"/>
    <w:rsid w:val="003C30C9"/>
    <w:rsid w:val="003C54BB"/>
    <w:rsid w:val="003C582C"/>
    <w:rsid w:val="003C5AFD"/>
    <w:rsid w:val="003C5F3D"/>
    <w:rsid w:val="003C6C4E"/>
    <w:rsid w:val="003C6DAF"/>
    <w:rsid w:val="003C7557"/>
    <w:rsid w:val="003C7769"/>
    <w:rsid w:val="003D17BE"/>
    <w:rsid w:val="003D1AD5"/>
    <w:rsid w:val="003D1ED8"/>
    <w:rsid w:val="003D2B12"/>
    <w:rsid w:val="003D3410"/>
    <w:rsid w:val="003D4271"/>
    <w:rsid w:val="003D480F"/>
    <w:rsid w:val="003D4F3B"/>
    <w:rsid w:val="003D5076"/>
    <w:rsid w:val="003D59FB"/>
    <w:rsid w:val="003D67E9"/>
    <w:rsid w:val="003D6AF0"/>
    <w:rsid w:val="003E097C"/>
    <w:rsid w:val="003E112B"/>
    <w:rsid w:val="003E26BD"/>
    <w:rsid w:val="003E340B"/>
    <w:rsid w:val="003E41BB"/>
    <w:rsid w:val="003E4327"/>
    <w:rsid w:val="003E4F8F"/>
    <w:rsid w:val="003E57B0"/>
    <w:rsid w:val="003E6595"/>
    <w:rsid w:val="003E7EAC"/>
    <w:rsid w:val="003F2037"/>
    <w:rsid w:val="003F219E"/>
    <w:rsid w:val="003F287B"/>
    <w:rsid w:val="003F49C8"/>
    <w:rsid w:val="003F6202"/>
    <w:rsid w:val="003F742B"/>
    <w:rsid w:val="003F766A"/>
    <w:rsid w:val="003F76A9"/>
    <w:rsid w:val="003F7928"/>
    <w:rsid w:val="00400FF6"/>
    <w:rsid w:val="004028F7"/>
    <w:rsid w:val="00402F36"/>
    <w:rsid w:val="0040448D"/>
    <w:rsid w:val="00404495"/>
    <w:rsid w:val="00406F20"/>
    <w:rsid w:val="00406FDD"/>
    <w:rsid w:val="00411651"/>
    <w:rsid w:val="00412FC4"/>
    <w:rsid w:val="00413056"/>
    <w:rsid w:val="00413BED"/>
    <w:rsid w:val="0041537E"/>
    <w:rsid w:val="004158D6"/>
    <w:rsid w:val="00416FA0"/>
    <w:rsid w:val="00417C66"/>
    <w:rsid w:val="004209C8"/>
    <w:rsid w:val="004235BF"/>
    <w:rsid w:val="00424DD8"/>
    <w:rsid w:val="0042692C"/>
    <w:rsid w:val="00426F02"/>
    <w:rsid w:val="00427FC9"/>
    <w:rsid w:val="00430822"/>
    <w:rsid w:val="00431BEA"/>
    <w:rsid w:val="00432097"/>
    <w:rsid w:val="0043213A"/>
    <w:rsid w:val="0043260B"/>
    <w:rsid w:val="004339FD"/>
    <w:rsid w:val="00433C24"/>
    <w:rsid w:val="00433FC0"/>
    <w:rsid w:val="004359BC"/>
    <w:rsid w:val="00437C13"/>
    <w:rsid w:val="00442719"/>
    <w:rsid w:val="00442846"/>
    <w:rsid w:val="00443111"/>
    <w:rsid w:val="0044361E"/>
    <w:rsid w:val="00443D24"/>
    <w:rsid w:val="0044468C"/>
    <w:rsid w:val="00444E88"/>
    <w:rsid w:val="00444F92"/>
    <w:rsid w:val="00445012"/>
    <w:rsid w:val="004454E3"/>
    <w:rsid w:val="0044746D"/>
    <w:rsid w:val="00447AF0"/>
    <w:rsid w:val="00450DBD"/>
    <w:rsid w:val="004513B4"/>
    <w:rsid w:val="0045151B"/>
    <w:rsid w:val="00451627"/>
    <w:rsid w:val="00452081"/>
    <w:rsid w:val="00453C5E"/>
    <w:rsid w:val="00454301"/>
    <w:rsid w:val="004545E1"/>
    <w:rsid w:val="0045467E"/>
    <w:rsid w:val="00455104"/>
    <w:rsid w:val="00456C25"/>
    <w:rsid w:val="004611C4"/>
    <w:rsid w:val="0046166C"/>
    <w:rsid w:val="004623B6"/>
    <w:rsid w:val="004637F6"/>
    <w:rsid w:val="004649B4"/>
    <w:rsid w:val="00464F98"/>
    <w:rsid w:val="0046564B"/>
    <w:rsid w:val="00465C22"/>
    <w:rsid w:val="0046695A"/>
    <w:rsid w:val="00466F97"/>
    <w:rsid w:val="004708DF"/>
    <w:rsid w:val="00470B30"/>
    <w:rsid w:val="004715C0"/>
    <w:rsid w:val="00472447"/>
    <w:rsid w:val="00472851"/>
    <w:rsid w:val="00474292"/>
    <w:rsid w:val="00475144"/>
    <w:rsid w:val="004752B9"/>
    <w:rsid w:val="00475373"/>
    <w:rsid w:val="00475481"/>
    <w:rsid w:val="0047585F"/>
    <w:rsid w:val="0047599C"/>
    <w:rsid w:val="00476496"/>
    <w:rsid w:val="00476535"/>
    <w:rsid w:val="00477056"/>
    <w:rsid w:val="0047717C"/>
    <w:rsid w:val="004773E3"/>
    <w:rsid w:val="00477DF9"/>
    <w:rsid w:val="00477FAF"/>
    <w:rsid w:val="00480AE3"/>
    <w:rsid w:val="00481AD9"/>
    <w:rsid w:val="004829A0"/>
    <w:rsid w:val="0048348D"/>
    <w:rsid w:val="0048387D"/>
    <w:rsid w:val="0048688F"/>
    <w:rsid w:val="004875FF"/>
    <w:rsid w:val="00487BB0"/>
    <w:rsid w:val="00490833"/>
    <w:rsid w:val="0049093E"/>
    <w:rsid w:val="00490980"/>
    <w:rsid w:val="00491F3F"/>
    <w:rsid w:val="00492319"/>
    <w:rsid w:val="00492744"/>
    <w:rsid w:val="00492BF8"/>
    <w:rsid w:val="00493C74"/>
    <w:rsid w:val="00493DBF"/>
    <w:rsid w:val="00494350"/>
    <w:rsid w:val="004944C5"/>
    <w:rsid w:val="00494CCA"/>
    <w:rsid w:val="004951F6"/>
    <w:rsid w:val="00495CBD"/>
    <w:rsid w:val="00495D7B"/>
    <w:rsid w:val="00496944"/>
    <w:rsid w:val="004A092D"/>
    <w:rsid w:val="004A158A"/>
    <w:rsid w:val="004A35EB"/>
    <w:rsid w:val="004A456F"/>
    <w:rsid w:val="004A5D39"/>
    <w:rsid w:val="004A5F7E"/>
    <w:rsid w:val="004A6786"/>
    <w:rsid w:val="004B0231"/>
    <w:rsid w:val="004B0B65"/>
    <w:rsid w:val="004B24A4"/>
    <w:rsid w:val="004B2943"/>
    <w:rsid w:val="004B3204"/>
    <w:rsid w:val="004B374C"/>
    <w:rsid w:val="004B4B91"/>
    <w:rsid w:val="004B5894"/>
    <w:rsid w:val="004B5D9E"/>
    <w:rsid w:val="004B6086"/>
    <w:rsid w:val="004B64C4"/>
    <w:rsid w:val="004B67C2"/>
    <w:rsid w:val="004C0EAE"/>
    <w:rsid w:val="004C197F"/>
    <w:rsid w:val="004C1C5B"/>
    <w:rsid w:val="004C3910"/>
    <w:rsid w:val="004C5E48"/>
    <w:rsid w:val="004D06F4"/>
    <w:rsid w:val="004D146C"/>
    <w:rsid w:val="004D34DA"/>
    <w:rsid w:val="004D4485"/>
    <w:rsid w:val="004D4638"/>
    <w:rsid w:val="004D5316"/>
    <w:rsid w:val="004D57F9"/>
    <w:rsid w:val="004D5833"/>
    <w:rsid w:val="004D6E4B"/>
    <w:rsid w:val="004D74A8"/>
    <w:rsid w:val="004D753C"/>
    <w:rsid w:val="004D7624"/>
    <w:rsid w:val="004E09FE"/>
    <w:rsid w:val="004E1809"/>
    <w:rsid w:val="004E19E2"/>
    <w:rsid w:val="004E1D26"/>
    <w:rsid w:val="004E1ED2"/>
    <w:rsid w:val="004E2729"/>
    <w:rsid w:val="004E4FAC"/>
    <w:rsid w:val="004E55B8"/>
    <w:rsid w:val="004E6445"/>
    <w:rsid w:val="004F0982"/>
    <w:rsid w:val="004F142B"/>
    <w:rsid w:val="004F27E6"/>
    <w:rsid w:val="004F29CE"/>
    <w:rsid w:val="004F311B"/>
    <w:rsid w:val="004F35F7"/>
    <w:rsid w:val="004F60CA"/>
    <w:rsid w:val="004F658D"/>
    <w:rsid w:val="004F6F9E"/>
    <w:rsid w:val="004F76FA"/>
    <w:rsid w:val="004F7AF9"/>
    <w:rsid w:val="00500FA4"/>
    <w:rsid w:val="00501DBF"/>
    <w:rsid w:val="00501E51"/>
    <w:rsid w:val="00504102"/>
    <w:rsid w:val="005050C8"/>
    <w:rsid w:val="00505FAD"/>
    <w:rsid w:val="00507406"/>
    <w:rsid w:val="00507823"/>
    <w:rsid w:val="00507BFD"/>
    <w:rsid w:val="00507F88"/>
    <w:rsid w:val="00512257"/>
    <w:rsid w:val="005122D7"/>
    <w:rsid w:val="00512B55"/>
    <w:rsid w:val="00512F53"/>
    <w:rsid w:val="005141D5"/>
    <w:rsid w:val="00514780"/>
    <w:rsid w:val="00514F3B"/>
    <w:rsid w:val="005172CC"/>
    <w:rsid w:val="00520483"/>
    <w:rsid w:val="005206A6"/>
    <w:rsid w:val="0052285D"/>
    <w:rsid w:val="00524CE2"/>
    <w:rsid w:val="00524D1E"/>
    <w:rsid w:val="0052627B"/>
    <w:rsid w:val="00526381"/>
    <w:rsid w:val="00527614"/>
    <w:rsid w:val="00531C49"/>
    <w:rsid w:val="00532057"/>
    <w:rsid w:val="00532328"/>
    <w:rsid w:val="00532A10"/>
    <w:rsid w:val="00532CD0"/>
    <w:rsid w:val="00532EC8"/>
    <w:rsid w:val="00533316"/>
    <w:rsid w:val="0053403B"/>
    <w:rsid w:val="00534E49"/>
    <w:rsid w:val="00536A5D"/>
    <w:rsid w:val="00537DDD"/>
    <w:rsid w:val="0054002D"/>
    <w:rsid w:val="005402A7"/>
    <w:rsid w:val="005440BA"/>
    <w:rsid w:val="0054450F"/>
    <w:rsid w:val="0054494F"/>
    <w:rsid w:val="0054602E"/>
    <w:rsid w:val="0055249B"/>
    <w:rsid w:val="005524D2"/>
    <w:rsid w:val="005530F8"/>
    <w:rsid w:val="00553E4E"/>
    <w:rsid w:val="00555991"/>
    <w:rsid w:val="005562A6"/>
    <w:rsid w:val="005563D2"/>
    <w:rsid w:val="00556D9F"/>
    <w:rsid w:val="00557CD8"/>
    <w:rsid w:val="0056033F"/>
    <w:rsid w:val="00561357"/>
    <w:rsid w:val="00563B4A"/>
    <w:rsid w:val="00563D5D"/>
    <w:rsid w:val="005647CB"/>
    <w:rsid w:val="0056577C"/>
    <w:rsid w:val="00565D96"/>
    <w:rsid w:val="00565F05"/>
    <w:rsid w:val="00567006"/>
    <w:rsid w:val="00572CBC"/>
    <w:rsid w:val="00574CE1"/>
    <w:rsid w:val="00575791"/>
    <w:rsid w:val="00576B52"/>
    <w:rsid w:val="005774A2"/>
    <w:rsid w:val="0057776C"/>
    <w:rsid w:val="00577BF5"/>
    <w:rsid w:val="005810AA"/>
    <w:rsid w:val="00581C84"/>
    <w:rsid w:val="005827CB"/>
    <w:rsid w:val="00582EB2"/>
    <w:rsid w:val="00583618"/>
    <w:rsid w:val="00584968"/>
    <w:rsid w:val="00585668"/>
    <w:rsid w:val="005866AC"/>
    <w:rsid w:val="00587762"/>
    <w:rsid w:val="005900FD"/>
    <w:rsid w:val="0059015B"/>
    <w:rsid w:val="005905E6"/>
    <w:rsid w:val="005911E3"/>
    <w:rsid w:val="005932FB"/>
    <w:rsid w:val="00596179"/>
    <w:rsid w:val="0059777D"/>
    <w:rsid w:val="005A0B23"/>
    <w:rsid w:val="005A208B"/>
    <w:rsid w:val="005A2955"/>
    <w:rsid w:val="005A2C78"/>
    <w:rsid w:val="005A3FC3"/>
    <w:rsid w:val="005A5F78"/>
    <w:rsid w:val="005A7AC8"/>
    <w:rsid w:val="005A7EB8"/>
    <w:rsid w:val="005B1358"/>
    <w:rsid w:val="005B2351"/>
    <w:rsid w:val="005B352E"/>
    <w:rsid w:val="005B3E6F"/>
    <w:rsid w:val="005B46DA"/>
    <w:rsid w:val="005B4B49"/>
    <w:rsid w:val="005B5542"/>
    <w:rsid w:val="005B56E7"/>
    <w:rsid w:val="005B7B61"/>
    <w:rsid w:val="005B7DA4"/>
    <w:rsid w:val="005C036D"/>
    <w:rsid w:val="005C1514"/>
    <w:rsid w:val="005C2478"/>
    <w:rsid w:val="005C381C"/>
    <w:rsid w:val="005C45D9"/>
    <w:rsid w:val="005C4E1B"/>
    <w:rsid w:val="005C5FDD"/>
    <w:rsid w:val="005C6DCC"/>
    <w:rsid w:val="005C6E7F"/>
    <w:rsid w:val="005C744A"/>
    <w:rsid w:val="005D1EAD"/>
    <w:rsid w:val="005D2A9C"/>
    <w:rsid w:val="005D4388"/>
    <w:rsid w:val="005D7FF3"/>
    <w:rsid w:val="005E0409"/>
    <w:rsid w:val="005E05C2"/>
    <w:rsid w:val="005E21DA"/>
    <w:rsid w:val="005E4E3E"/>
    <w:rsid w:val="005E522E"/>
    <w:rsid w:val="005E6154"/>
    <w:rsid w:val="005E74A7"/>
    <w:rsid w:val="005F0C33"/>
    <w:rsid w:val="005F0D5B"/>
    <w:rsid w:val="005F1876"/>
    <w:rsid w:val="005F2049"/>
    <w:rsid w:val="005F2CDB"/>
    <w:rsid w:val="005F3D5D"/>
    <w:rsid w:val="005F49AC"/>
    <w:rsid w:val="005F4E16"/>
    <w:rsid w:val="005F55F4"/>
    <w:rsid w:val="005F57DD"/>
    <w:rsid w:val="005F58F8"/>
    <w:rsid w:val="005F6093"/>
    <w:rsid w:val="005F6F5A"/>
    <w:rsid w:val="0060080C"/>
    <w:rsid w:val="00601554"/>
    <w:rsid w:val="00602580"/>
    <w:rsid w:val="0060346E"/>
    <w:rsid w:val="0060401D"/>
    <w:rsid w:val="00605D73"/>
    <w:rsid w:val="0060671B"/>
    <w:rsid w:val="006069B4"/>
    <w:rsid w:val="00606E3C"/>
    <w:rsid w:val="00607A7B"/>
    <w:rsid w:val="00607A97"/>
    <w:rsid w:val="00610A16"/>
    <w:rsid w:val="00611308"/>
    <w:rsid w:val="00613252"/>
    <w:rsid w:val="00613A6D"/>
    <w:rsid w:val="0061470E"/>
    <w:rsid w:val="0061541B"/>
    <w:rsid w:val="00616220"/>
    <w:rsid w:val="00616CB0"/>
    <w:rsid w:val="00622601"/>
    <w:rsid w:val="0062303F"/>
    <w:rsid w:val="006245CB"/>
    <w:rsid w:val="00625A01"/>
    <w:rsid w:val="00625B72"/>
    <w:rsid w:val="00626228"/>
    <w:rsid w:val="006262ED"/>
    <w:rsid w:val="006268C5"/>
    <w:rsid w:val="00626EEC"/>
    <w:rsid w:val="0062776D"/>
    <w:rsid w:val="006278ED"/>
    <w:rsid w:val="00627DE0"/>
    <w:rsid w:val="00631B1A"/>
    <w:rsid w:val="0063222B"/>
    <w:rsid w:val="006336D1"/>
    <w:rsid w:val="00634232"/>
    <w:rsid w:val="0063458B"/>
    <w:rsid w:val="00635569"/>
    <w:rsid w:val="00635A35"/>
    <w:rsid w:val="006362E9"/>
    <w:rsid w:val="006363BB"/>
    <w:rsid w:val="006367FE"/>
    <w:rsid w:val="00640482"/>
    <w:rsid w:val="00641DEF"/>
    <w:rsid w:val="006422AF"/>
    <w:rsid w:val="00642539"/>
    <w:rsid w:val="006429CF"/>
    <w:rsid w:val="006429F6"/>
    <w:rsid w:val="006434CC"/>
    <w:rsid w:val="006440A3"/>
    <w:rsid w:val="00644E61"/>
    <w:rsid w:val="00645480"/>
    <w:rsid w:val="00645EA8"/>
    <w:rsid w:val="00645FD6"/>
    <w:rsid w:val="006462EA"/>
    <w:rsid w:val="006469E3"/>
    <w:rsid w:val="00650214"/>
    <w:rsid w:val="00650AFA"/>
    <w:rsid w:val="006512E8"/>
    <w:rsid w:val="0065166E"/>
    <w:rsid w:val="00651EFF"/>
    <w:rsid w:val="006536DE"/>
    <w:rsid w:val="00654BB8"/>
    <w:rsid w:val="00654C97"/>
    <w:rsid w:val="00655824"/>
    <w:rsid w:val="00656928"/>
    <w:rsid w:val="006573CE"/>
    <w:rsid w:val="00657D7A"/>
    <w:rsid w:val="0066196A"/>
    <w:rsid w:val="00662487"/>
    <w:rsid w:val="00662B7D"/>
    <w:rsid w:val="00662CCF"/>
    <w:rsid w:val="0066316B"/>
    <w:rsid w:val="006636BB"/>
    <w:rsid w:val="00665120"/>
    <w:rsid w:val="0066554A"/>
    <w:rsid w:val="00666AFB"/>
    <w:rsid w:val="006735AA"/>
    <w:rsid w:val="006745E3"/>
    <w:rsid w:val="006746A8"/>
    <w:rsid w:val="00674D4A"/>
    <w:rsid w:val="0067508B"/>
    <w:rsid w:val="00676720"/>
    <w:rsid w:val="00676795"/>
    <w:rsid w:val="00677A01"/>
    <w:rsid w:val="00677E87"/>
    <w:rsid w:val="00680668"/>
    <w:rsid w:val="00681AB0"/>
    <w:rsid w:val="00682356"/>
    <w:rsid w:val="00682A6B"/>
    <w:rsid w:val="0068301D"/>
    <w:rsid w:val="006834E3"/>
    <w:rsid w:val="00683CD2"/>
    <w:rsid w:val="00686F84"/>
    <w:rsid w:val="00690ACF"/>
    <w:rsid w:val="0069129F"/>
    <w:rsid w:val="00692520"/>
    <w:rsid w:val="006938B2"/>
    <w:rsid w:val="006954BD"/>
    <w:rsid w:val="006956FA"/>
    <w:rsid w:val="00695A6E"/>
    <w:rsid w:val="00696275"/>
    <w:rsid w:val="006963EB"/>
    <w:rsid w:val="00696E2A"/>
    <w:rsid w:val="006A0154"/>
    <w:rsid w:val="006A0C4C"/>
    <w:rsid w:val="006A0FFC"/>
    <w:rsid w:val="006A2BB7"/>
    <w:rsid w:val="006A2FD2"/>
    <w:rsid w:val="006A3015"/>
    <w:rsid w:val="006A31AC"/>
    <w:rsid w:val="006A43CF"/>
    <w:rsid w:val="006A4BEE"/>
    <w:rsid w:val="006A7C41"/>
    <w:rsid w:val="006B0024"/>
    <w:rsid w:val="006B2514"/>
    <w:rsid w:val="006B40B9"/>
    <w:rsid w:val="006B424D"/>
    <w:rsid w:val="006B551D"/>
    <w:rsid w:val="006B696E"/>
    <w:rsid w:val="006B6A8D"/>
    <w:rsid w:val="006B6D9E"/>
    <w:rsid w:val="006C0E7D"/>
    <w:rsid w:val="006C1206"/>
    <w:rsid w:val="006C17AF"/>
    <w:rsid w:val="006C285F"/>
    <w:rsid w:val="006C3D2D"/>
    <w:rsid w:val="006C478F"/>
    <w:rsid w:val="006D01DE"/>
    <w:rsid w:val="006D0F75"/>
    <w:rsid w:val="006D1D22"/>
    <w:rsid w:val="006D2693"/>
    <w:rsid w:val="006D3201"/>
    <w:rsid w:val="006D4D06"/>
    <w:rsid w:val="006D6E36"/>
    <w:rsid w:val="006D6FA2"/>
    <w:rsid w:val="006D7BFB"/>
    <w:rsid w:val="006E01CD"/>
    <w:rsid w:val="006E05DA"/>
    <w:rsid w:val="006E08A6"/>
    <w:rsid w:val="006E14BD"/>
    <w:rsid w:val="006E45AE"/>
    <w:rsid w:val="006E4930"/>
    <w:rsid w:val="006E60BC"/>
    <w:rsid w:val="006E6FCE"/>
    <w:rsid w:val="006E77C8"/>
    <w:rsid w:val="006F1D1F"/>
    <w:rsid w:val="006F2CD6"/>
    <w:rsid w:val="006F41E2"/>
    <w:rsid w:val="006F485E"/>
    <w:rsid w:val="006F4B74"/>
    <w:rsid w:val="006F6315"/>
    <w:rsid w:val="006F6759"/>
    <w:rsid w:val="006F6EAC"/>
    <w:rsid w:val="006F730C"/>
    <w:rsid w:val="006F78F3"/>
    <w:rsid w:val="006F7FB1"/>
    <w:rsid w:val="00700688"/>
    <w:rsid w:val="00700894"/>
    <w:rsid w:val="00701EE2"/>
    <w:rsid w:val="007054DC"/>
    <w:rsid w:val="00706562"/>
    <w:rsid w:val="00706CFE"/>
    <w:rsid w:val="00710549"/>
    <w:rsid w:val="00710CB9"/>
    <w:rsid w:val="00710E2D"/>
    <w:rsid w:val="00711C6D"/>
    <w:rsid w:val="00713404"/>
    <w:rsid w:val="0071642A"/>
    <w:rsid w:val="00717365"/>
    <w:rsid w:val="0072012E"/>
    <w:rsid w:val="00720B94"/>
    <w:rsid w:val="00720FD9"/>
    <w:rsid w:val="007228A0"/>
    <w:rsid w:val="00723996"/>
    <w:rsid w:val="00724028"/>
    <w:rsid w:val="00725312"/>
    <w:rsid w:val="007274C6"/>
    <w:rsid w:val="007278FE"/>
    <w:rsid w:val="00727A6D"/>
    <w:rsid w:val="00727A6F"/>
    <w:rsid w:val="00730074"/>
    <w:rsid w:val="00731009"/>
    <w:rsid w:val="0073148C"/>
    <w:rsid w:val="00731F1B"/>
    <w:rsid w:val="007336A0"/>
    <w:rsid w:val="00735A1F"/>
    <w:rsid w:val="0073641D"/>
    <w:rsid w:val="00736C6F"/>
    <w:rsid w:val="00736DBF"/>
    <w:rsid w:val="007371EB"/>
    <w:rsid w:val="0074041B"/>
    <w:rsid w:val="00740E72"/>
    <w:rsid w:val="00741134"/>
    <w:rsid w:val="00741A1C"/>
    <w:rsid w:val="00742AC2"/>
    <w:rsid w:val="00743145"/>
    <w:rsid w:val="00745EAF"/>
    <w:rsid w:val="00746E77"/>
    <w:rsid w:val="00746F53"/>
    <w:rsid w:val="00746FA4"/>
    <w:rsid w:val="00750748"/>
    <w:rsid w:val="00753730"/>
    <w:rsid w:val="007539B1"/>
    <w:rsid w:val="00753E00"/>
    <w:rsid w:val="00754959"/>
    <w:rsid w:val="00754D90"/>
    <w:rsid w:val="00755D9E"/>
    <w:rsid w:val="00755F4A"/>
    <w:rsid w:val="00757604"/>
    <w:rsid w:val="00757A38"/>
    <w:rsid w:val="00757D0F"/>
    <w:rsid w:val="00760079"/>
    <w:rsid w:val="00761266"/>
    <w:rsid w:val="007624E7"/>
    <w:rsid w:val="007624F4"/>
    <w:rsid w:val="00762517"/>
    <w:rsid w:val="00762F7E"/>
    <w:rsid w:val="00763977"/>
    <w:rsid w:val="007639CA"/>
    <w:rsid w:val="007675EF"/>
    <w:rsid w:val="007679AC"/>
    <w:rsid w:val="00767E55"/>
    <w:rsid w:val="0077142B"/>
    <w:rsid w:val="00771488"/>
    <w:rsid w:val="00771C96"/>
    <w:rsid w:val="0077361E"/>
    <w:rsid w:val="0077406E"/>
    <w:rsid w:val="00774116"/>
    <w:rsid w:val="00774734"/>
    <w:rsid w:val="00775024"/>
    <w:rsid w:val="00775F92"/>
    <w:rsid w:val="007806B5"/>
    <w:rsid w:val="00780880"/>
    <w:rsid w:val="007808B9"/>
    <w:rsid w:val="00781442"/>
    <w:rsid w:val="00782308"/>
    <w:rsid w:val="00782A32"/>
    <w:rsid w:val="00783995"/>
    <w:rsid w:val="00784550"/>
    <w:rsid w:val="0078480B"/>
    <w:rsid w:val="00784AAC"/>
    <w:rsid w:val="007855BF"/>
    <w:rsid w:val="007857AB"/>
    <w:rsid w:val="007859DE"/>
    <w:rsid w:val="00785F13"/>
    <w:rsid w:val="00785FFA"/>
    <w:rsid w:val="00786250"/>
    <w:rsid w:val="0078662F"/>
    <w:rsid w:val="00786949"/>
    <w:rsid w:val="00791199"/>
    <w:rsid w:val="007922F9"/>
    <w:rsid w:val="00794304"/>
    <w:rsid w:val="00794DAF"/>
    <w:rsid w:val="007954D0"/>
    <w:rsid w:val="00796671"/>
    <w:rsid w:val="007975B8"/>
    <w:rsid w:val="00797713"/>
    <w:rsid w:val="00797BF5"/>
    <w:rsid w:val="00797DE5"/>
    <w:rsid w:val="007A02D3"/>
    <w:rsid w:val="007A0ACD"/>
    <w:rsid w:val="007A2983"/>
    <w:rsid w:val="007A39D4"/>
    <w:rsid w:val="007A4B5D"/>
    <w:rsid w:val="007A58C0"/>
    <w:rsid w:val="007A5AD2"/>
    <w:rsid w:val="007A5F34"/>
    <w:rsid w:val="007A62B5"/>
    <w:rsid w:val="007B0623"/>
    <w:rsid w:val="007B0D01"/>
    <w:rsid w:val="007B0DB7"/>
    <w:rsid w:val="007B153A"/>
    <w:rsid w:val="007B22C6"/>
    <w:rsid w:val="007B690F"/>
    <w:rsid w:val="007B7136"/>
    <w:rsid w:val="007B7229"/>
    <w:rsid w:val="007C0272"/>
    <w:rsid w:val="007C056D"/>
    <w:rsid w:val="007C0C9A"/>
    <w:rsid w:val="007C2396"/>
    <w:rsid w:val="007C28F9"/>
    <w:rsid w:val="007C3C5A"/>
    <w:rsid w:val="007C49A0"/>
    <w:rsid w:val="007C7492"/>
    <w:rsid w:val="007D0458"/>
    <w:rsid w:val="007D239E"/>
    <w:rsid w:val="007D25ED"/>
    <w:rsid w:val="007D4FE6"/>
    <w:rsid w:val="007D5CDC"/>
    <w:rsid w:val="007D6161"/>
    <w:rsid w:val="007D617E"/>
    <w:rsid w:val="007D6CF7"/>
    <w:rsid w:val="007D6DBB"/>
    <w:rsid w:val="007D7515"/>
    <w:rsid w:val="007D75B2"/>
    <w:rsid w:val="007D7AAE"/>
    <w:rsid w:val="007E13F3"/>
    <w:rsid w:val="007E1A41"/>
    <w:rsid w:val="007E1AEF"/>
    <w:rsid w:val="007E1B6F"/>
    <w:rsid w:val="007E24B0"/>
    <w:rsid w:val="007E27E7"/>
    <w:rsid w:val="007E2B8D"/>
    <w:rsid w:val="007E2ED3"/>
    <w:rsid w:val="007E302D"/>
    <w:rsid w:val="007E4859"/>
    <w:rsid w:val="007E56E8"/>
    <w:rsid w:val="007E5BAB"/>
    <w:rsid w:val="007E61AF"/>
    <w:rsid w:val="007E6325"/>
    <w:rsid w:val="007E70F1"/>
    <w:rsid w:val="007E78A0"/>
    <w:rsid w:val="007E7B8F"/>
    <w:rsid w:val="007E7F90"/>
    <w:rsid w:val="007F051C"/>
    <w:rsid w:val="007F1C75"/>
    <w:rsid w:val="007F2001"/>
    <w:rsid w:val="007F2790"/>
    <w:rsid w:val="007F2C92"/>
    <w:rsid w:val="007F3EB5"/>
    <w:rsid w:val="007F54CE"/>
    <w:rsid w:val="007F5D46"/>
    <w:rsid w:val="007F65CD"/>
    <w:rsid w:val="007F72E2"/>
    <w:rsid w:val="007F785C"/>
    <w:rsid w:val="0080068F"/>
    <w:rsid w:val="00801741"/>
    <w:rsid w:val="00802AE3"/>
    <w:rsid w:val="008030F0"/>
    <w:rsid w:val="00803F25"/>
    <w:rsid w:val="00804F64"/>
    <w:rsid w:val="0080616C"/>
    <w:rsid w:val="008076B2"/>
    <w:rsid w:val="0081028F"/>
    <w:rsid w:val="0081049D"/>
    <w:rsid w:val="0081058C"/>
    <w:rsid w:val="0081361E"/>
    <w:rsid w:val="00815D32"/>
    <w:rsid w:val="00816867"/>
    <w:rsid w:val="00816C26"/>
    <w:rsid w:val="00820AF2"/>
    <w:rsid w:val="008247CC"/>
    <w:rsid w:val="00825410"/>
    <w:rsid w:val="008254D7"/>
    <w:rsid w:val="00826FE0"/>
    <w:rsid w:val="00830009"/>
    <w:rsid w:val="008308B2"/>
    <w:rsid w:val="0083104C"/>
    <w:rsid w:val="00831322"/>
    <w:rsid w:val="008318DD"/>
    <w:rsid w:val="00831910"/>
    <w:rsid w:val="0083210B"/>
    <w:rsid w:val="00834B45"/>
    <w:rsid w:val="00835466"/>
    <w:rsid w:val="0083614F"/>
    <w:rsid w:val="00836CDD"/>
    <w:rsid w:val="00836DB1"/>
    <w:rsid w:val="00836EB0"/>
    <w:rsid w:val="008375C0"/>
    <w:rsid w:val="0084027D"/>
    <w:rsid w:val="00840E85"/>
    <w:rsid w:val="00840E8D"/>
    <w:rsid w:val="00841A63"/>
    <w:rsid w:val="008420A7"/>
    <w:rsid w:val="00842CE6"/>
    <w:rsid w:val="00843601"/>
    <w:rsid w:val="008436C5"/>
    <w:rsid w:val="00844017"/>
    <w:rsid w:val="00844879"/>
    <w:rsid w:val="00844F10"/>
    <w:rsid w:val="008455F1"/>
    <w:rsid w:val="0084583C"/>
    <w:rsid w:val="00845FED"/>
    <w:rsid w:val="0084660D"/>
    <w:rsid w:val="00847285"/>
    <w:rsid w:val="00850838"/>
    <w:rsid w:val="00850D61"/>
    <w:rsid w:val="00851701"/>
    <w:rsid w:val="00851F1A"/>
    <w:rsid w:val="008524AE"/>
    <w:rsid w:val="00853FF6"/>
    <w:rsid w:val="0085581C"/>
    <w:rsid w:val="00855A24"/>
    <w:rsid w:val="008574BC"/>
    <w:rsid w:val="0085790A"/>
    <w:rsid w:val="00857DE2"/>
    <w:rsid w:val="00860195"/>
    <w:rsid w:val="00860744"/>
    <w:rsid w:val="00860C8A"/>
    <w:rsid w:val="00861B83"/>
    <w:rsid w:val="00862A06"/>
    <w:rsid w:val="00862C68"/>
    <w:rsid w:val="00863108"/>
    <w:rsid w:val="008634BC"/>
    <w:rsid w:val="00863875"/>
    <w:rsid w:val="00863F38"/>
    <w:rsid w:val="0086435F"/>
    <w:rsid w:val="00864BBF"/>
    <w:rsid w:val="0086503C"/>
    <w:rsid w:val="008653EE"/>
    <w:rsid w:val="008655EF"/>
    <w:rsid w:val="008677AF"/>
    <w:rsid w:val="00871796"/>
    <w:rsid w:val="0087270F"/>
    <w:rsid w:val="008739AA"/>
    <w:rsid w:val="00874654"/>
    <w:rsid w:val="00875EB1"/>
    <w:rsid w:val="00876C6E"/>
    <w:rsid w:val="008771D6"/>
    <w:rsid w:val="00877BA0"/>
    <w:rsid w:val="00881A83"/>
    <w:rsid w:val="00881EA4"/>
    <w:rsid w:val="00882FFD"/>
    <w:rsid w:val="00883F27"/>
    <w:rsid w:val="00884661"/>
    <w:rsid w:val="00884BBA"/>
    <w:rsid w:val="00884FEE"/>
    <w:rsid w:val="00885132"/>
    <w:rsid w:val="008851FE"/>
    <w:rsid w:val="00885298"/>
    <w:rsid w:val="0088545D"/>
    <w:rsid w:val="00887940"/>
    <w:rsid w:val="00890C15"/>
    <w:rsid w:val="00891116"/>
    <w:rsid w:val="00891BA9"/>
    <w:rsid w:val="00892660"/>
    <w:rsid w:val="008928B3"/>
    <w:rsid w:val="00894618"/>
    <w:rsid w:val="008958FE"/>
    <w:rsid w:val="00895EBC"/>
    <w:rsid w:val="00896E1A"/>
    <w:rsid w:val="008A1125"/>
    <w:rsid w:val="008A1AD3"/>
    <w:rsid w:val="008A26DF"/>
    <w:rsid w:val="008A3BD4"/>
    <w:rsid w:val="008A4C1E"/>
    <w:rsid w:val="008A4D31"/>
    <w:rsid w:val="008A5635"/>
    <w:rsid w:val="008A6570"/>
    <w:rsid w:val="008A66ED"/>
    <w:rsid w:val="008A73EF"/>
    <w:rsid w:val="008A7C3F"/>
    <w:rsid w:val="008B0220"/>
    <w:rsid w:val="008B04E8"/>
    <w:rsid w:val="008B1B69"/>
    <w:rsid w:val="008B3AAF"/>
    <w:rsid w:val="008B470B"/>
    <w:rsid w:val="008B4C26"/>
    <w:rsid w:val="008B4E1F"/>
    <w:rsid w:val="008B65B4"/>
    <w:rsid w:val="008B72DC"/>
    <w:rsid w:val="008C0A60"/>
    <w:rsid w:val="008C13B0"/>
    <w:rsid w:val="008C2D85"/>
    <w:rsid w:val="008C33E9"/>
    <w:rsid w:val="008C362A"/>
    <w:rsid w:val="008C38AC"/>
    <w:rsid w:val="008C4557"/>
    <w:rsid w:val="008C4751"/>
    <w:rsid w:val="008C4827"/>
    <w:rsid w:val="008C5F4D"/>
    <w:rsid w:val="008C7A7C"/>
    <w:rsid w:val="008D057E"/>
    <w:rsid w:val="008D0D1F"/>
    <w:rsid w:val="008D1029"/>
    <w:rsid w:val="008D2485"/>
    <w:rsid w:val="008D27EA"/>
    <w:rsid w:val="008D30F9"/>
    <w:rsid w:val="008D4537"/>
    <w:rsid w:val="008D4D3E"/>
    <w:rsid w:val="008D521F"/>
    <w:rsid w:val="008D532F"/>
    <w:rsid w:val="008D5676"/>
    <w:rsid w:val="008D5800"/>
    <w:rsid w:val="008D5ECD"/>
    <w:rsid w:val="008D61FB"/>
    <w:rsid w:val="008D717F"/>
    <w:rsid w:val="008E1401"/>
    <w:rsid w:val="008E1AA1"/>
    <w:rsid w:val="008E28CA"/>
    <w:rsid w:val="008E4DE9"/>
    <w:rsid w:val="008E6BE9"/>
    <w:rsid w:val="008E78DB"/>
    <w:rsid w:val="008F07B0"/>
    <w:rsid w:val="008F1748"/>
    <w:rsid w:val="008F5544"/>
    <w:rsid w:val="008F5C21"/>
    <w:rsid w:val="008F5DA7"/>
    <w:rsid w:val="008F6672"/>
    <w:rsid w:val="008F7A7F"/>
    <w:rsid w:val="0090059A"/>
    <w:rsid w:val="00900A66"/>
    <w:rsid w:val="00902CE3"/>
    <w:rsid w:val="0090397B"/>
    <w:rsid w:val="009045F3"/>
    <w:rsid w:val="0090534E"/>
    <w:rsid w:val="0090559B"/>
    <w:rsid w:val="0090613A"/>
    <w:rsid w:val="00906D48"/>
    <w:rsid w:val="009072BD"/>
    <w:rsid w:val="00912750"/>
    <w:rsid w:val="0091358D"/>
    <w:rsid w:val="00913974"/>
    <w:rsid w:val="00913B2F"/>
    <w:rsid w:val="00913E28"/>
    <w:rsid w:val="00914390"/>
    <w:rsid w:val="00914788"/>
    <w:rsid w:val="00917EE8"/>
    <w:rsid w:val="0092003A"/>
    <w:rsid w:val="009201A4"/>
    <w:rsid w:val="009202A7"/>
    <w:rsid w:val="009205E6"/>
    <w:rsid w:val="00920A57"/>
    <w:rsid w:val="0092273E"/>
    <w:rsid w:val="00924219"/>
    <w:rsid w:val="0092464D"/>
    <w:rsid w:val="00924E09"/>
    <w:rsid w:val="00924F38"/>
    <w:rsid w:val="00926C54"/>
    <w:rsid w:val="00927439"/>
    <w:rsid w:val="00931F40"/>
    <w:rsid w:val="00932753"/>
    <w:rsid w:val="00933AF9"/>
    <w:rsid w:val="00933E52"/>
    <w:rsid w:val="009341DC"/>
    <w:rsid w:val="009342E7"/>
    <w:rsid w:val="0093496B"/>
    <w:rsid w:val="00936226"/>
    <w:rsid w:val="00940262"/>
    <w:rsid w:val="00941768"/>
    <w:rsid w:val="00942C4B"/>
    <w:rsid w:val="00942E72"/>
    <w:rsid w:val="00942FC2"/>
    <w:rsid w:val="00943BE9"/>
    <w:rsid w:val="00943C28"/>
    <w:rsid w:val="00944538"/>
    <w:rsid w:val="0094690B"/>
    <w:rsid w:val="00951425"/>
    <w:rsid w:val="00951780"/>
    <w:rsid w:val="00952C3F"/>
    <w:rsid w:val="009534E6"/>
    <w:rsid w:val="0095496B"/>
    <w:rsid w:val="00954A58"/>
    <w:rsid w:val="009555DF"/>
    <w:rsid w:val="009557AA"/>
    <w:rsid w:val="00960229"/>
    <w:rsid w:val="00960AC4"/>
    <w:rsid w:val="00960EEA"/>
    <w:rsid w:val="00960F07"/>
    <w:rsid w:val="00961703"/>
    <w:rsid w:val="009617AD"/>
    <w:rsid w:val="009625CA"/>
    <w:rsid w:val="00962C1D"/>
    <w:rsid w:val="00962DC3"/>
    <w:rsid w:val="00962DEF"/>
    <w:rsid w:val="009659F7"/>
    <w:rsid w:val="00967173"/>
    <w:rsid w:val="0096783A"/>
    <w:rsid w:val="0097053E"/>
    <w:rsid w:val="00971053"/>
    <w:rsid w:val="00971B08"/>
    <w:rsid w:val="00971C4A"/>
    <w:rsid w:val="009727AD"/>
    <w:rsid w:val="00972E48"/>
    <w:rsid w:val="00972EBF"/>
    <w:rsid w:val="00975598"/>
    <w:rsid w:val="00975D89"/>
    <w:rsid w:val="00975F3B"/>
    <w:rsid w:val="00976120"/>
    <w:rsid w:val="00977116"/>
    <w:rsid w:val="00977748"/>
    <w:rsid w:val="00977A26"/>
    <w:rsid w:val="00977B98"/>
    <w:rsid w:val="0098054A"/>
    <w:rsid w:val="009805F6"/>
    <w:rsid w:val="009825DC"/>
    <w:rsid w:val="00982647"/>
    <w:rsid w:val="00982E2B"/>
    <w:rsid w:val="00983731"/>
    <w:rsid w:val="00984B76"/>
    <w:rsid w:val="00984FBF"/>
    <w:rsid w:val="00985202"/>
    <w:rsid w:val="009853BF"/>
    <w:rsid w:val="00985901"/>
    <w:rsid w:val="00985D63"/>
    <w:rsid w:val="00985DC3"/>
    <w:rsid w:val="00987824"/>
    <w:rsid w:val="00990AE5"/>
    <w:rsid w:val="00991BA4"/>
    <w:rsid w:val="0099230E"/>
    <w:rsid w:val="0099263E"/>
    <w:rsid w:val="00992CF9"/>
    <w:rsid w:val="00992D84"/>
    <w:rsid w:val="00992E71"/>
    <w:rsid w:val="00992F38"/>
    <w:rsid w:val="009936A9"/>
    <w:rsid w:val="00993F07"/>
    <w:rsid w:val="009970E4"/>
    <w:rsid w:val="00997715"/>
    <w:rsid w:val="009A0098"/>
    <w:rsid w:val="009A1ADB"/>
    <w:rsid w:val="009A1E46"/>
    <w:rsid w:val="009A1F2F"/>
    <w:rsid w:val="009A2372"/>
    <w:rsid w:val="009A2AED"/>
    <w:rsid w:val="009A2E74"/>
    <w:rsid w:val="009A2EC1"/>
    <w:rsid w:val="009A33D6"/>
    <w:rsid w:val="009A3BC5"/>
    <w:rsid w:val="009A4AA4"/>
    <w:rsid w:val="009A4EF9"/>
    <w:rsid w:val="009A5472"/>
    <w:rsid w:val="009A5AF3"/>
    <w:rsid w:val="009A6EC1"/>
    <w:rsid w:val="009B1A75"/>
    <w:rsid w:val="009B1BAF"/>
    <w:rsid w:val="009B221F"/>
    <w:rsid w:val="009B2B7F"/>
    <w:rsid w:val="009B3724"/>
    <w:rsid w:val="009B3C39"/>
    <w:rsid w:val="009B3D13"/>
    <w:rsid w:val="009B4952"/>
    <w:rsid w:val="009B4A40"/>
    <w:rsid w:val="009B4B16"/>
    <w:rsid w:val="009B63BB"/>
    <w:rsid w:val="009B6BFA"/>
    <w:rsid w:val="009B7781"/>
    <w:rsid w:val="009B7BA2"/>
    <w:rsid w:val="009C1071"/>
    <w:rsid w:val="009C13E0"/>
    <w:rsid w:val="009C198B"/>
    <w:rsid w:val="009C360D"/>
    <w:rsid w:val="009C51C0"/>
    <w:rsid w:val="009C55DE"/>
    <w:rsid w:val="009C6A9A"/>
    <w:rsid w:val="009C76A6"/>
    <w:rsid w:val="009D0571"/>
    <w:rsid w:val="009D0B58"/>
    <w:rsid w:val="009D12B3"/>
    <w:rsid w:val="009D1378"/>
    <w:rsid w:val="009D2F97"/>
    <w:rsid w:val="009D3797"/>
    <w:rsid w:val="009D588D"/>
    <w:rsid w:val="009D5F6C"/>
    <w:rsid w:val="009D7002"/>
    <w:rsid w:val="009E0204"/>
    <w:rsid w:val="009E1FC9"/>
    <w:rsid w:val="009E24A6"/>
    <w:rsid w:val="009E3696"/>
    <w:rsid w:val="009E49F3"/>
    <w:rsid w:val="009E4D64"/>
    <w:rsid w:val="009E6861"/>
    <w:rsid w:val="009E6950"/>
    <w:rsid w:val="009E70E2"/>
    <w:rsid w:val="009E7ACB"/>
    <w:rsid w:val="009F0121"/>
    <w:rsid w:val="009F041E"/>
    <w:rsid w:val="009F2433"/>
    <w:rsid w:val="009F4A05"/>
    <w:rsid w:val="009F5A65"/>
    <w:rsid w:val="009F6536"/>
    <w:rsid w:val="009F707A"/>
    <w:rsid w:val="00A00808"/>
    <w:rsid w:val="00A00E7A"/>
    <w:rsid w:val="00A011D3"/>
    <w:rsid w:val="00A01276"/>
    <w:rsid w:val="00A02CC2"/>
    <w:rsid w:val="00A0442D"/>
    <w:rsid w:val="00A069B3"/>
    <w:rsid w:val="00A071B4"/>
    <w:rsid w:val="00A10C50"/>
    <w:rsid w:val="00A11D51"/>
    <w:rsid w:val="00A12737"/>
    <w:rsid w:val="00A12784"/>
    <w:rsid w:val="00A12B6D"/>
    <w:rsid w:val="00A12FD8"/>
    <w:rsid w:val="00A13E4A"/>
    <w:rsid w:val="00A13F8D"/>
    <w:rsid w:val="00A14B3A"/>
    <w:rsid w:val="00A1661F"/>
    <w:rsid w:val="00A16AB9"/>
    <w:rsid w:val="00A177FE"/>
    <w:rsid w:val="00A17BB4"/>
    <w:rsid w:val="00A2077A"/>
    <w:rsid w:val="00A20CBF"/>
    <w:rsid w:val="00A20CE7"/>
    <w:rsid w:val="00A21155"/>
    <w:rsid w:val="00A21D26"/>
    <w:rsid w:val="00A23219"/>
    <w:rsid w:val="00A279FB"/>
    <w:rsid w:val="00A30E9E"/>
    <w:rsid w:val="00A3161F"/>
    <w:rsid w:val="00A31E4B"/>
    <w:rsid w:val="00A32027"/>
    <w:rsid w:val="00A33B84"/>
    <w:rsid w:val="00A352CF"/>
    <w:rsid w:val="00A361F5"/>
    <w:rsid w:val="00A369B6"/>
    <w:rsid w:val="00A36EA5"/>
    <w:rsid w:val="00A37D3A"/>
    <w:rsid w:val="00A41819"/>
    <w:rsid w:val="00A41E79"/>
    <w:rsid w:val="00A4331E"/>
    <w:rsid w:val="00A43572"/>
    <w:rsid w:val="00A43F7B"/>
    <w:rsid w:val="00A45729"/>
    <w:rsid w:val="00A50458"/>
    <w:rsid w:val="00A510EC"/>
    <w:rsid w:val="00A5176F"/>
    <w:rsid w:val="00A51AD5"/>
    <w:rsid w:val="00A526EE"/>
    <w:rsid w:val="00A52760"/>
    <w:rsid w:val="00A52CDC"/>
    <w:rsid w:val="00A53AA7"/>
    <w:rsid w:val="00A55EB2"/>
    <w:rsid w:val="00A56937"/>
    <w:rsid w:val="00A572A6"/>
    <w:rsid w:val="00A577D0"/>
    <w:rsid w:val="00A57CD6"/>
    <w:rsid w:val="00A61C89"/>
    <w:rsid w:val="00A6216C"/>
    <w:rsid w:val="00A628F3"/>
    <w:rsid w:val="00A62AFB"/>
    <w:rsid w:val="00A62C06"/>
    <w:rsid w:val="00A635BC"/>
    <w:rsid w:val="00A63A68"/>
    <w:rsid w:val="00A63AC5"/>
    <w:rsid w:val="00A644D1"/>
    <w:rsid w:val="00A659CE"/>
    <w:rsid w:val="00A65FCC"/>
    <w:rsid w:val="00A6608C"/>
    <w:rsid w:val="00A67606"/>
    <w:rsid w:val="00A676A5"/>
    <w:rsid w:val="00A67DF9"/>
    <w:rsid w:val="00A7093E"/>
    <w:rsid w:val="00A714FF"/>
    <w:rsid w:val="00A71C3A"/>
    <w:rsid w:val="00A72AFE"/>
    <w:rsid w:val="00A73ABB"/>
    <w:rsid w:val="00A740B0"/>
    <w:rsid w:val="00A74CD2"/>
    <w:rsid w:val="00A757B4"/>
    <w:rsid w:val="00A76257"/>
    <w:rsid w:val="00A76D54"/>
    <w:rsid w:val="00A7703C"/>
    <w:rsid w:val="00A77A4C"/>
    <w:rsid w:val="00A8088A"/>
    <w:rsid w:val="00A80AEC"/>
    <w:rsid w:val="00A81283"/>
    <w:rsid w:val="00A81553"/>
    <w:rsid w:val="00A822DC"/>
    <w:rsid w:val="00A82320"/>
    <w:rsid w:val="00A82E81"/>
    <w:rsid w:val="00A82FB7"/>
    <w:rsid w:val="00A835B3"/>
    <w:rsid w:val="00A83EFD"/>
    <w:rsid w:val="00A84D28"/>
    <w:rsid w:val="00A8506B"/>
    <w:rsid w:val="00A855D0"/>
    <w:rsid w:val="00A85BA5"/>
    <w:rsid w:val="00A8609F"/>
    <w:rsid w:val="00A865B3"/>
    <w:rsid w:val="00A87C22"/>
    <w:rsid w:val="00A87FEF"/>
    <w:rsid w:val="00A9074E"/>
    <w:rsid w:val="00A90C73"/>
    <w:rsid w:val="00A90ECB"/>
    <w:rsid w:val="00A923CC"/>
    <w:rsid w:val="00A92D7A"/>
    <w:rsid w:val="00A930D2"/>
    <w:rsid w:val="00A9620A"/>
    <w:rsid w:val="00A967B3"/>
    <w:rsid w:val="00A97387"/>
    <w:rsid w:val="00A97684"/>
    <w:rsid w:val="00AA19E2"/>
    <w:rsid w:val="00AA1FC2"/>
    <w:rsid w:val="00AA5D55"/>
    <w:rsid w:val="00AA7614"/>
    <w:rsid w:val="00AB012B"/>
    <w:rsid w:val="00AB01B5"/>
    <w:rsid w:val="00AB05C0"/>
    <w:rsid w:val="00AB1C7D"/>
    <w:rsid w:val="00AB23B3"/>
    <w:rsid w:val="00AB6106"/>
    <w:rsid w:val="00AB7021"/>
    <w:rsid w:val="00AB722A"/>
    <w:rsid w:val="00AC0084"/>
    <w:rsid w:val="00AC0795"/>
    <w:rsid w:val="00AC3547"/>
    <w:rsid w:val="00AC3DAC"/>
    <w:rsid w:val="00AC51F9"/>
    <w:rsid w:val="00AC5A1F"/>
    <w:rsid w:val="00AC61E1"/>
    <w:rsid w:val="00AC6FE9"/>
    <w:rsid w:val="00AC742E"/>
    <w:rsid w:val="00AC78D5"/>
    <w:rsid w:val="00AC79AB"/>
    <w:rsid w:val="00AD02B6"/>
    <w:rsid w:val="00AD0E9E"/>
    <w:rsid w:val="00AD1EF1"/>
    <w:rsid w:val="00AD2823"/>
    <w:rsid w:val="00AD2DCD"/>
    <w:rsid w:val="00AD61CC"/>
    <w:rsid w:val="00AD6FCE"/>
    <w:rsid w:val="00AD7D41"/>
    <w:rsid w:val="00AE15C9"/>
    <w:rsid w:val="00AE21F4"/>
    <w:rsid w:val="00AE233D"/>
    <w:rsid w:val="00AE262B"/>
    <w:rsid w:val="00AE3679"/>
    <w:rsid w:val="00AE38EF"/>
    <w:rsid w:val="00AE582D"/>
    <w:rsid w:val="00AE6A4F"/>
    <w:rsid w:val="00AE7CFE"/>
    <w:rsid w:val="00AE7E01"/>
    <w:rsid w:val="00AF0311"/>
    <w:rsid w:val="00AF0835"/>
    <w:rsid w:val="00AF0C46"/>
    <w:rsid w:val="00AF10DC"/>
    <w:rsid w:val="00AF3223"/>
    <w:rsid w:val="00AF4823"/>
    <w:rsid w:val="00AF57E8"/>
    <w:rsid w:val="00AF5B86"/>
    <w:rsid w:val="00AF5D0F"/>
    <w:rsid w:val="00AF5E8C"/>
    <w:rsid w:val="00AF6CDE"/>
    <w:rsid w:val="00AF744A"/>
    <w:rsid w:val="00AF7C16"/>
    <w:rsid w:val="00AF7CDF"/>
    <w:rsid w:val="00AF7D1C"/>
    <w:rsid w:val="00B00F21"/>
    <w:rsid w:val="00B01AFC"/>
    <w:rsid w:val="00B01B9D"/>
    <w:rsid w:val="00B01BFB"/>
    <w:rsid w:val="00B02026"/>
    <w:rsid w:val="00B0263A"/>
    <w:rsid w:val="00B03017"/>
    <w:rsid w:val="00B03D9B"/>
    <w:rsid w:val="00B04B89"/>
    <w:rsid w:val="00B04F5F"/>
    <w:rsid w:val="00B05581"/>
    <w:rsid w:val="00B05B98"/>
    <w:rsid w:val="00B063DF"/>
    <w:rsid w:val="00B06D67"/>
    <w:rsid w:val="00B07FD4"/>
    <w:rsid w:val="00B10E95"/>
    <w:rsid w:val="00B10FF0"/>
    <w:rsid w:val="00B1144F"/>
    <w:rsid w:val="00B11DEF"/>
    <w:rsid w:val="00B1389B"/>
    <w:rsid w:val="00B14E7C"/>
    <w:rsid w:val="00B17D61"/>
    <w:rsid w:val="00B17D9B"/>
    <w:rsid w:val="00B20247"/>
    <w:rsid w:val="00B203D6"/>
    <w:rsid w:val="00B20C75"/>
    <w:rsid w:val="00B22D3A"/>
    <w:rsid w:val="00B23770"/>
    <w:rsid w:val="00B23BC4"/>
    <w:rsid w:val="00B26935"/>
    <w:rsid w:val="00B26D85"/>
    <w:rsid w:val="00B2731B"/>
    <w:rsid w:val="00B27ADE"/>
    <w:rsid w:val="00B27FC3"/>
    <w:rsid w:val="00B30B45"/>
    <w:rsid w:val="00B31509"/>
    <w:rsid w:val="00B31DBB"/>
    <w:rsid w:val="00B31F2F"/>
    <w:rsid w:val="00B3289F"/>
    <w:rsid w:val="00B333E5"/>
    <w:rsid w:val="00B3353B"/>
    <w:rsid w:val="00B33CC4"/>
    <w:rsid w:val="00B340E0"/>
    <w:rsid w:val="00B34310"/>
    <w:rsid w:val="00B360C3"/>
    <w:rsid w:val="00B36B02"/>
    <w:rsid w:val="00B37623"/>
    <w:rsid w:val="00B37887"/>
    <w:rsid w:val="00B4067E"/>
    <w:rsid w:val="00B424AA"/>
    <w:rsid w:val="00B44006"/>
    <w:rsid w:val="00B44F15"/>
    <w:rsid w:val="00B46CA9"/>
    <w:rsid w:val="00B50CE1"/>
    <w:rsid w:val="00B5103A"/>
    <w:rsid w:val="00B52478"/>
    <w:rsid w:val="00B52C9D"/>
    <w:rsid w:val="00B54E7A"/>
    <w:rsid w:val="00B56180"/>
    <w:rsid w:val="00B566DF"/>
    <w:rsid w:val="00B57673"/>
    <w:rsid w:val="00B57707"/>
    <w:rsid w:val="00B578FC"/>
    <w:rsid w:val="00B57A08"/>
    <w:rsid w:val="00B60489"/>
    <w:rsid w:val="00B609BA"/>
    <w:rsid w:val="00B610A6"/>
    <w:rsid w:val="00B61703"/>
    <w:rsid w:val="00B61C2A"/>
    <w:rsid w:val="00B62E40"/>
    <w:rsid w:val="00B63719"/>
    <w:rsid w:val="00B663BE"/>
    <w:rsid w:val="00B66CDB"/>
    <w:rsid w:val="00B71E65"/>
    <w:rsid w:val="00B72615"/>
    <w:rsid w:val="00B73468"/>
    <w:rsid w:val="00B769E0"/>
    <w:rsid w:val="00B775DA"/>
    <w:rsid w:val="00B80713"/>
    <w:rsid w:val="00B81991"/>
    <w:rsid w:val="00B83045"/>
    <w:rsid w:val="00B835B7"/>
    <w:rsid w:val="00B84FE1"/>
    <w:rsid w:val="00B86C64"/>
    <w:rsid w:val="00B872A8"/>
    <w:rsid w:val="00B87DFD"/>
    <w:rsid w:val="00B90460"/>
    <w:rsid w:val="00B907D2"/>
    <w:rsid w:val="00B9119E"/>
    <w:rsid w:val="00B9152A"/>
    <w:rsid w:val="00B91779"/>
    <w:rsid w:val="00B91D89"/>
    <w:rsid w:val="00B93024"/>
    <w:rsid w:val="00B93599"/>
    <w:rsid w:val="00B938FE"/>
    <w:rsid w:val="00B94285"/>
    <w:rsid w:val="00B96958"/>
    <w:rsid w:val="00B96CE4"/>
    <w:rsid w:val="00B9760C"/>
    <w:rsid w:val="00B97717"/>
    <w:rsid w:val="00BA0494"/>
    <w:rsid w:val="00BA0573"/>
    <w:rsid w:val="00BA14DC"/>
    <w:rsid w:val="00BA24D1"/>
    <w:rsid w:val="00BA25AE"/>
    <w:rsid w:val="00BA2E0C"/>
    <w:rsid w:val="00BA2F60"/>
    <w:rsid w:val="00BA441A"/>
    <w:rsid w:val="00BA4629"/>
    <w:rsid w:val="00BA488C"/>
    <w:rsid w:val="00BA56BD"/>
    <w:rsid w:val="00BA713A"/>
    <w:rsid w:val="00BA790F"/>
    <w:rsid w:val="00BB05AD"/>
    <w:rsid w:val="00BB0B99"/>
    <w:rsid w:val="00BB19A1"/>
    <w:rsid w:val="00BB27B5"/>
    <w:rsid w:val="00BB2D7D"/>
    <w:rsid w:val="00BB42F2"/>
    <w:rsid w:val="00BB4D17"/>
    <w:rsid w:val="00BB5D32"/>
    <w:rsid w:val="00BB5E46"/>
    <w:rsid w:val="00BB6340"/>
    <w:rsid w:val="00BB7509"/>
    <w:rsid w:val="00BB796B"/>
    <w:rsid w:val="00BB7E04"/>
    <w:rsid w:val="00BC0095"/>
    <w:rsid w:val="00BC066B"/>
    <w:rsid w:val="00BC07CE"/>
    <w:rsid w:val="00BC2399"/>
    <w:rsid w:val="00BC6779"/>
    <w:rsid w:val="00BC72E9"/>
    <w:rsid w:val="00BD09EE"/>
    <w:rsid w:val="00BD306D"/>
    <w:rsid w:val="00BD553E"/>
    <w:rsid w:val="00BD557A"/>
    <w:rsid w:val="00BD58B5"/>
    <w:rsid w:val="00BD62D7"/>
    <w:rsid w:val="00BD6B88"/>
    <w:rsid w:val="00BD72ED"/>
    <w:rsid w:val="00BD7A06"/>
    <w:rsid w:val="00BE0DAE"/>
    <w:rsid w:val="00BE1722"/>
    <w:rsid w:val="00BE4121"/>
    <w:rsid w:val="00BE48FE"/>
    <w:rsid w:val="00BE5E3C"/>
    <w:rsid w:val="00BE6197"/>
    <w:rsid w:val="00BF156E"/>
    <w:rsid w:val="00BF1F2D"/>
    <w:rsid w:val="00BF2D85"/>
    <w:rsid w:val="00BF3D62"/>
    <w:rsid w:val="00BF3FF0"/>
    <w:rsid w:val="00BF4174"/>
    <w:rsid w:val="00BF4236"/>
    <w:rsid w:val="00BF53BC"/>
    <w:rsid w:val="00BF6EC6"/>
    <w:rsid w:val="00BF7DAA"/>
    <w:rsid w:val="00BF7E02"/>
    <w:rsid w:val="00C003DB"/>
    <w:rsid w:val="00C00702"/>
    <w:rsid w:val="00C012DC"/>
    <w:rsid w:val="00C025EF"/>
    <w:rsid w:val="00C02AEF"/>
    <w:rsid w:val="00C040E4"/>
    <w:rsid w:val="00C05080"/>
    <w:rsid w:val="00C056BB"/>
    <w:rsid w:val="00C05DF2"/>
    <w:rsid w:val="00C064FA"/>
    <w:rsid w:val="00C06894"/>
    <w:rsid w:val="00C075D0"/>
    <w:rsid w:val="00C07844"/>
    <w:rsid w:val="00C07A08"/>
    <w:rsid w:val="00C11412"/>
    <w:rsid w:val="00C12AC9"/>
    <w:rsid w:val="00C14324"/>
    <w:rsid w:val="00C14810"/>
    <w:rsid w:val="00C15DE8"/>
    <w:rsid w:val="00C1643B"/>
    <w:rsid w:val="00C165DE"/>
    <w:rsid w:val="00C17044"/>
    <w:rsid w:val="00C1790C"/>
    <w:rsid w:val="00C226AF"/>
    <w:rsid w:val="00C22A44"/>
    <w:rsid w:val="00C22AFF"/>
    <w:rsid w:val="00C22FE6"/>
    <w:rsid w:val="00C237D2"/>
    <w:rsid w:val="00C25C76"/>
    <w:rsid w:val="00C27758"/>
    <w:rsid w:val="00C309E7"/>
    <w:rsid w:val="00C30BF1"/>
    <w:rsid w:val="00C30D5F"/>
    <w:rsid w:val="00C316C1"/>
    <w:rsid w:val="00C3231E"/>
    <w:rsid w:val="00C336EC"/>
    <w:rsid w:val="00C359FC"/>
    <w:rsid w:val="00C3678E"/>
    <w:rsid w:val="00C4017C"/>
    <w:rsid w:val="00C40705"/>
    <w:rsid w:val="00C40BB8"/>
    <w:rsid w:val="00C42992"/>
    <w:rsid w:val="00C42AC1"/>
    <w:rsid w:val="00C444C8"/>
    <w:rsid w:val="00C44950"/>
    <w:rsid w:val="00C449FB"/>
    <w:rsid w:val="00C44BFD"/>
    <w:rsid w:val="00C45182"/>
    <w:rsid w:val="00C4523B"/>
    <w:rsid w:val="00C45483"/>
    <w:rsid w:val="00C467A8"/>
    <w:rsid w:val="00C46C4C"/>
    <w:rsid w:val="00C514D6"/>
    <w:rsid w:val="00C51512"/>
    <w:rsid w:val="00C5209B"/>
    <w:rsid w:val="00C524EA"/>
    <w:rsid w:val="00C52795"/>
    <w:rsid w:val="00C52A6F"/>
    <w:rsid w:val="00C5308A"/>
    <w:rsid w:val="00C544A2"/>
    <w:rsid w:val="00C54740"/>
    <w:rsid w:val="00C559DA"/>
    <w:rsid w:val="00C55F40"/>
    <w:rsid w:val="00C56D25"/>
    <w:rsid w:val="00C6010E"/>
    <w:rsid w:val="00C6057B"/>
    <w:rsid w:val="00C60BA6"/>
    <w:rsid w:val="00C61160"/>
    <w:rsid w:val="00C62AD4"/>
    <w:rsid w:val="00C63513"/>
    <w:rsid w:val="00C70EC6"/>
    <w:rsid w:val="00C72200"/>
    <w:rsid w:val="00C72490"/>
    <w:rsid w:val="00C7302A"/>
    <w:rsid w:val="00C73C3C"/>
    <w:rsid w:val="00C74B89"/>
    <w:rsid w:val="00C74E1A"/>
    <w:rsid w:val="00C75446"/>
    <w:rsid w:val="00C76557"/>
    <w:rsid w:val="00C8002A"/>
    <w:rsid w:val="00C8136A"/>
    <w:rsid w:val="00C829C1"/>
    <w:rsid w:val="00C83696"/>
    <w:rsid w:val="00C84D41"/>
    <w:rsid w:val="00C85BD0"/>
    <w:rsid w:val="00C85C16"/>
    <w:rsid w:val="00C85E65"/>
    <w:rsid w:val="00C85F7A"/>
    <w:rsid w:val="00C87E63"/>
    <w:rsid w:val="00C91032"/>
    <w:rsid w:val="00C92CB2"/>
    <w:rsid w:val="00C95205"/>
    <w:rsid w:val="00C96725"/>
    <w:rsid w:val="00C9690B"/>
    <w:rsid w:val="00C96E4B"/>
    <w:rsid w:val="00C96ED3"/>
    <w:rsid w:val="00C9787C"/>
    <w:rsid w:val="00C979E3"/>
    <w:rsid w:val="00CA024B"/>
    <w:rsid w:val="00CA05D4"/>
    <w:rsid w:val="00CA076A"/>
    <w:rsid w:val="00CA0CC7"/>
    <w:rsid w:val="00CA1B9D"/>
    <w:rsid w:val="00CA2244"/>
    <w:rsid w:val="00CA2840"/>
    <w:rsid w:val="00CA2A0A"/>
    <w:rsid w:val="00CA31B8"/>
    <w:rsid w:val="00CA3F78"/>
    <w:rsid w:val="00CA57B7"/>
    <w:rsid w:val="00CA5C91"/>
    <w:rsid w:val="00CA60DE"/>
    <w:rsid w:val="00CA651A"/>
    <w:rsid w:val="00CA7A2F"/>
    <w:rsid w:val="00CB01F9"/>
    <w:rsid w:val="00CB07E3"/>
    <w:rsid w:val="00CB1B57"/>
    <w:rsid w:val="00CB2137"/>
    <w:rsid w:val="00CB21C0"/>
    <w:rsid w:val="00CB3E81"/>
    <w:rsid w:val="00CB42CD"/>
    <w:rsid w:val="00CB43CE"/>
    <w:rsid w:val="00CB45D1"/>
    <w:rsid w:val="00CB4AE3"/>
    <w:rsid w:val="00CB72C8"/>
    <w:rsid w:val="00CB77B0"/>
    <w:rsid w:val="00CB79E8"/>
    <w:rsid w:val="00CB7BD4"/>
    <w:rsid w:val="00CC06E1"/>
    <w:rsid w:val="00CC0F1F"/>
    <w:rsid w:val="00CC23DD"/>
    <w:rsid w:val="00CC28CB"/>
    <w:rsid w:val="00CC2DF7"/>
    <w:rsid w:val="00CC3242"/>
    <w:rsid w:val="00CC39ED"/>
    <w:rsid w:val="00CC60B6"/>
    <w:rsid w:val="00CC6F66"/>
    <w:rsid w:val="00CC776B"/>
    <w:rsid w:val="00CD0036"/>
    <w:rsid w:val="00CD1375"/>
    <w:rsid w:val="00CD1E00"/>
    <w:rsid w:val="00CD2837"/>
    <w:rsid w:val="00CD36F6"/>
    <w:rsid w:val="00CD3EF3"/>
    <w:rsid w:val="00CD4CBA"/>
    <w:rsid w:val="00CD4D35"/>
    <w:rsid w:val="00CD514D"/>
    <w:rsid w:val="00CD520A"/>
    <w:rsid w:val="00CD578A"/>
    <w:rsid w:val="00CD78AA"/>
    <w:rsid w:val="00CE0F2B"/>
    <w:rsid w:val="00CE3F86"/>
    <w:rsid w:val="00CE3FD2"/>
    <w:rsid w:val="00CE5BF5"/>
    <w:rsid w:val="00CE5D66"/>
    <w:rsid w:val="00CE6337"/>
    <w:rsid w:val="00CE6655"/>
    <w:rsid w:val="00CE70A4"/>
    <w:rsid w:val="00CE78B5"/>
    <w:rsid w:val="00CF1839"/>
    <w:rsid w:val="00CF3096"/>
    <w:rsid w:val="00CF3915"/>
    <w:rsid w:val="00CF41B6"/>
    <w:rsid w:val="00CF52F2"/>
    <w:rsid w:val="00CF5309"/>
    <w:rsid w:val="00CF57EB"/>
    <w:rsid w:val="00D001CA"/>
    <w:rsid w:val="00D00662"/>
    <w:rsid w:val="00D006FC"/>
    <w:rsid w:val="00D01BB7"/>
    <w:rsid w:val="00D03224"/>
    <w:rsid w:val="00D045A2"/>
    <w:rsid w:val="00D04EA6"/>
    <w:rsid w:val="00D05928"/>
    <w:rsid w:val="00D07477"/>
    <w:rsid w:val="00D11459"/>
    <w:rsid w:val="00D11F72"/>
    <w:rsid w:val="00D1204E"/>
    <w:rsid w:val="00D130BF"/>
    <w:rsid w:val="00D1474F"/>
    <w:rsid w:val="00D14A55"/>
    <w:rsid w:val="00D14DE8"/>
    <w:rsid w:val="00D14EF3"/>
    <w:rsid w:val="00D17F22"/>
    <w:rsid w:val="00D17FAA"/>
    <w:rsid w:val="00D20935"/>
    <w:rsid w:val="00D21B41"/>
    <w:rsid w:val="00D236D6"/>
    <w:rsid w:val="00D25158"/>
    <w:rsid w:val="00D25B37"/>
    <w:rsid w:val="00D26A0A"/>
    <w:rsid w:val="00D26A22"/>
    <w:rsid w:val="00D26C55"/>
    <w:rsid w:val="00D27620"/>
    <w:rsid w:val="00D306C8"/>
    <w:rsid w:val="00D31FBC"/>
    <w:rsid w:val="00D321A4"/>
    <w:rsid w:val="00D337E1"/>
    <w:rsid w:val="00D37455"/>
    <w:rsid w:val="00D37DC8"/>
    <w:rsid w:val="00D37F33"/>
    <w:rsid w:val="00D40263"/>
    <w:rsid w:val="00D40413"/>
    <w:rsid w:val="00D40BD1"/>
    <w:rsid w:val="00D42D59"/>
    <w:rsid w:val="00D4552E"/>
    <w:rsid w:val="00D473F2"/>
    <w:rsid w:val="00D476A0"/>
    <w:rsid w:val="00D47ED9"/>
    <w:rsid w:val="00D50164"/>
    <w:rsid w:val="00D51316"/>
    <w:rsid w:val="00D51E5B"/>
    <w:rsid w:val="00D532EE"/>
    <w:rsid w:val="00D53E19"/>
    <w:rsid w:val="00D53F9C"/>
    <w:rsid w:val="00D55457"/>
    <w:rsid w:val="00D60173"/>
    <w:rsid w:val="00D601D5"/>
    <w:rsid w:val="00D60597"/>
    <w:rsid w:val="00D619F2"/>
    <w:rsid w:val="00D6258C"/>
    <w:rsid w:val="00D62791"/>
    <w:rsid w:val="00D6339A"/>
    <w:rsid w:val="00D6340D"/>
    <w:rsid w:val="00D638B3"/>
    <w:rsid w:val="00D642A4"/>
    <w:rsid w:val="00D669EA"/>
    <w:rsid w:val="00D72E8B"/>
    <w:rsid w:val="00D734C8"/>
    <w:rsid w:val="00D73BA4"/>
    <w:rsid w:val="00D74EC7"/>
    <w:rsid w:val="00D753FB"/>
    <w:rsid w:val="00D76F23"/>
    <w:rsid w:val="00D809DB"/>
    <w:rsid w:val="00D8141B"/>
    <w:rsid w:val="00D81F14"/>
    <w:rsid w:val="00D82A2D"/>
    <w:rsid w:val="00D8345C"/>
    <w:rsid w:val="00D84401"/>
    <w:rsid w:val="00D84A23"/>
    <w:rsid w:val="00D91698"/>
    <w:rsid w:val="00D919D9"/>
    <w:rsid w:val="00D929C6"/>
    <w:rsid w:val="00D944E0"/>
    <w:rsid w:val="00D94894"/>
    <w:rsid w:val="00D958AB"/>
    <w:rsid w:val="00D9658A"/>
    <w:rsid w:val="00D972F9"/>
    <w:rsid w:val="00D974BD"/>
    <w:rsid w:val="00D97CCE"/>
    <w:rsid w:val="00D97D1B"/>
    <w:rsid w:val="00D97F81"/>
    <w:rsid w:val="00DA0A82"/>
    <w:rsid w:val="00DA0BC6"/>
    <w:rsid w:val="00DA131C"/>
    <w:rsid w:val="00DA1BCC"/>
    <w:rsid w:val="00DA223E"/>
    <w:rsid w:val="00DA2EA8"/>
    <w:rsid w:val="00DA3D94"/>
    <w:rsid w:val="00DA48D8"/>
    <w:rsid w:val="00DA5E9A"/>
    <w:rsid w:val="00DA6069"/>
    <w:rsid w:val="00DA678E"/>
    <w:rsid w:val="00DA70C1"/>
    <w:rsid w:val="00DA7FD1"/>
    <w:rsid w:val="00DB1327"/>
    <w:rsid w:val="00DB2008"/>
    <w:rsid w:val="00DB26E3"/>
    <w:rsid w:val="00DB2766"/>
    <w:rsid w:val="00DB29DC"/>
    <w:rsid w:val="00DB543F"/>
    <w:rsid w:val="00DB6DFA"/>
    <w:rsid w:val="00DB6EEB"/>
    <w:rsid w:val="00DB7508"/>
    <w:rsid w:val="00DC1E21"/>
    <w:rsid w:val="00DC2691"/>
    <w:rsid w:val="00DC294E"/>
    <w:rsid w:val="00DC4D40"/>
    <w:rsid w:val="00DC5AA6"/>
    <w:rsid w:val="00DC60E1"/>
    <w:rsid w:val="00DC6892"/>
    <w:rsid w:val="00DC6D06"/>
    <w:rsid w:val="00DC7019"/>
    <w:rsid w:val="00DC7337"/>
    <w:rsid w:val="00DC7FF1"/>
    <w:rsid w:val="00DD0689"/>
    <w:rsid w:val="00DD158D"/>
    <w:rsid w:val="00DD18F4"/>
    <w:rsid w:val="00DD1B90"/>
    <w:rsid w:val="00DD29C4"/>
    <w:rsid w:val="00DD315E"/>
    <w:rsid w:val="00DD39BE"/>
    <w:rsid w:val="00DD402E"/>
    <w:rsid w:val="00DD4CDA"/>
    <w:rsid w:val="00DD54EE"/>
    <w:rsid w:val="00DD5BDD"/>
    <w:rsid w:val="00DD6D66"/>
    <w:rsid w:val="00DD6EC1"/>
    <w:rsid w:val="00DD6EF6"/>
    <w:rsid w:val="00DD7356"/>
    <w:rsid w:val="00DD7B82"/>
    <w:rsid w:val="00DE09EA"/>
    <w:rsid w:val="00DE0B0A"/>
    <w:rsid w:val="00DE111A"/>
    <w:rsid w:val="00DE2BCF"/>
    <w:rsid w:val="00DE3046"/>
    <w:rsid w:val="00DE338E"/>
    <w:rsid w:val="00DE3BF4"/>
    <w:rsid w:val="00DE460D"/>
    <w:rsid w:val="00DE5489"/>
    <w:rsid w:val="00DE60B6"/>
    <w:rsid w:val="00DE687D"/>
    <w:rsid w:val="00DE70BE"/>
    <w:rsid w:val="00DE7229"/>
    <w:rsid w:val="00DE73F3"/>
    <w:rsid w:val="00DE74EA"/>
    <w:rsid w:val="00DF0754"/>
    <w:rsid w:val="00DF0DA7"/>
    <w:rsid w:val="00DF1364"/>
    <w:rsid w:val="00DF17E6"/>
    <w:rsid w:val="00DF2674"/>
    <w:rsid w:val="00DF3074"/>
    <w:rsid w:val="00DF3565"/>
    <w:rsid w:val="00DF5451"/>
    <w:rsid w:val="00DF78D9"/>
    <w:rsid w:val="00DF7FAE"/>
    <w:rsid w:val="00E006F9"/>
    <w:rsid w:val="00E00BF8"/>
    <w:rsid w:val="00E028E2"/>
    <w:rsid w:val="00E04D1C"/>
    <w:rsid w:val="00E05898"/>
    <w:rsid w:val="00E06D57"/>
    <w:rsid w:val="00E07798"/>
    <w:rsid w:val="00E129ED"/>
    <w:rsid w:val="00E12DF9"/>
    <w:rsid w:val="00E1339C"/>
    <w:rsid w:val="00E13624"/>
    <w:rsid w:val="00E15447"/>
    <w:rsid w:val="00E16976"/>
    <w:rsid w:val="00E1736C"/>
    <w:rsid w:val="00E202E5"/>
    <w:rsid w:val="00E20FB5"/>
    <w:rsid w:val="00E22400"/>
    <w:rsid w:val="00E23957"/>
    <w:rsid w:val="00E23991"/>
    <w:rsid w:val="00E251C6"/>
    <w:rsid w:val="00E2583D"/>
    <w:rsid w:val="00E26541"/>
    <w:rsid w:val="00E26D74"/>
    <w:rsid w:val="00E27802"/>
    <w:rsid w:val="00E308FF"/>
    <w:rsid w:val="00E30EAF"/>
    <w:rsid w:val="00E313F4"/>
    <w:rsid w:val="00E315F1"/>
    <w:rsid w:val="00E31AA2"/>
    <w:rsid w:val="00E31AA5"/>
    <w:rsid w:val="00E322F5"/>
    <w:rsid w:val="00E3254E"/>
    <w:rsid w:val="00E33E8D"/>
    <w:rsid w:val="00E34442"/>
    <w:rsid w:val="00E35120"/>
    <w:rsid w:val="00E35EB5"/>
    <w:rsid w:val="00E3614F"/>
    <w:rsid w:val="00E36CDE"/>
    <w:rsid w:val="00E3756E"/>
    <w:rsid w:val="00E403F4"/>
    <w:rsid w:val="00E40A33"/>
    <w:rsid w:val="00E41362"/>
    <w:rsid w:val="00E4179F"/>
    <w:rsid w:val="00E42791"/>
    <w:rsid w:val="00E4416E"/>
    <w:rsid w:val="00E44F4E"/>
    <w:rsid w:val="00E455AF"/>
    <w:rsid w:val="00E45793"/>
    <w:rsid w:val="00E46472"/>
    <w:rsid w:val="00E501AD"/>
    <w:rsid w:val="00E510C9"/>
    <w:rsid w:val="00E5145C"/>
    <w:rsid w:val="00E5177B"/>
    <w:rsid w:val="00E53D8B"/>
    <w:rsid w:val="00E55189"/>
    <w:rsid w:val="00E5520D"/>
    <w:rsid w:val="00E55BF7"/>
    <w:rsid w:val="00E56EE9"/>
    <w:rsid w:val="00E600BF"/>
    <w:rsid w:val="00E60F97"/>
    <w:rsid w:val="00E619DD"/>
    <w:rsid w:val="00E63803"/>
    <w:rsid w:val="00E63A6D"/>
    <w:rsid w:val="00E63FC6"/>
    <w:rsid w:val="00E64020"/>
    <w:rsid w:val="00E6431D"/>
    <w:rsid w:val="00E6553C"/>
    <w:rsid w:val="00E65E9C"/>
    <w:rsid w:val="00E663F6"/>
    <w:rsid w:val="00E67B5E"/>
    <w:rsid w:val="00E70547"/>
    <w:rsid w:val="00E70F1E"/>
    <w:rsid w:val="00E70FF4"/>
    <w:rsid w:val="00E7164C"/>
    <w:rsid w:val="00E7406A"/>
    <w:rsid w:val="00E74370"/>
    <w:rsid w:val="00E7555D"/>
    <w:rsid w:val="00E768A3"/>
    <w:rsid w:val="00E76AE6"/>
    <w:rsid w:val="00E81EC3"/>
    <w:rsid w:val="00E8211B"/>
    <w:rsid w:val="00E824E1"/>
    <w:rsid w:val="00E829ED"/>
    <w:rsid w:val="00E83A94"/>
    <w:rsid w:val="00E8507E"/>
    <w:rsid w:val="00E87ED4"/>
    <w:rsid w:val="00E91D63"/>
    <w:rsid w:val="00E9255C"/>
    <w:rsid w:val="00E931D9"/>
    <w:rsid w:val="00E9336C"/>
    <w:rsid w:val="00E95402"/>
    <w:rsid w:val="00E95A02"/>
    <w:rsid w:val="00E96023"/>
    <w:rsid w:val="00E967AF"/>
    <w:rsid w:val="00E968E8"/>
    <w:rsid w:val="00E96B1C"/>
    <w:rsid w:val="00EA06AA"/>
    <w:rsid w:val="00EA0744"/>
    <w:rsid w:val="00EA0AD0"/>
    <w:rsid w:val="00EA1FFB"/>
    <w:rsid w:val="00EA209F"/>
    <w:rsid w:val="00EA23CD"/>
    <w:rsid w:val="00EA37EE"/>
    <w:rsid w:val="00EA5795"/>
    <w:rsid w:val="00EA5BAB"/>
    <w:rsid w:val="00EA5C81"/>
    <w:rsid w:val="00EA629C"/>
    <w:rsid w:val="00EA7734"/>
    <w:rsid w:val="00EA7788"/>
    <w:rsid w:val="00EA7964"/>
    <w:rsid w:val="00EB1B6C"/>
    <w:rsid w:val="00EB1CB6"/>
    <w:rsid w:val="00EB1CDC"/>
    <w:rsid w:val="00EB41A9"/>
    <w:rsid w:val="00EB66E8"/>
    <w:rsid w:val="00EB6A12"/>
    <w:rsid w:val="00EB6C8E"/>
    <w:rsid w:val="00EB788F"/>
    <w:rsid w:val="00EC0509"/>
    <w:rsid w:val="00EC10C3"/>
    <w:rsid w:val="00EC297B"/>
    <w:rsid w:val="00EC2A9B"/>
    <w:rsid w:val="00EC2C7F"/>
    <w:rsid w:val="00EC319D"/>
    <w:rsid w:val="00EC3BDE"/>
    <w:rsid w:val="00EC3CCF"/>
    <w:rsid w:val="00EC4E62"/>
    <w:rsid w:val="00EC527D"/>
    <w:rsid w:val="00EC6AA3"/>
    <w:rsid w:val="00ED068E"/>
    <w:rsid w:val="00ED1EFC"/>
    <w:rsid w:val="00ED2032"/>
    <w:rsid w:val="00ED276F"/>
    <w:rsid w:val="00ED594D"/>
    <w:rsid w:val="00ED6656"/>
    <w:rsid w:val="00ED69DB"/>
    <w:rsid w:val="00ED727F"/>
    <w:rsid w:val="00ED7B30"/>
    <w:rsid w:val="00EE09CF"/>
    <w:rsid w:val="00EE0B3B"/>
    <w:rsid w:val="00EE0F56"/>
    <w:rsid w:val="00EE263A"/>
    <w:rsid w:val="00EE2920"/>
    <w:rsid w:val="00EE3C6A"/>
    <w:rsid w:val="00EE5F6F"/>
    <w:rsid w:val="00EE622D"/>
    <w:rsid w:val="00EE6403"/>
    <w:rsid w:val="00EE73F8"/>
    <w:rsid w:val="00EF1998"/>
    <w:rsid w:val="00EF1D7A"/>
    <w:rsid w:val="00EF1DF1"/>
    <w:rsid w:val="00EF21C2"/>
    <w:rsid w:val="00EF2467"/>
    <w:rsid w:val="00EF2B68"/>
    <w:rsid w:val="00EF4D2C"/>
    <w:rsid w:val="00F002EC"/>
    <w:rsid w:val="00F0100C"/>
    <w:rsid w:val="00F0117D"/>
    <w:rsid w:val="00F01661"/>
    <w:rsid w:val="00F017EE"/>
    <w:rsid w:val="00F02DE8"/>
    <w:rsid w:val="00F056D0"/>
    <w:rsid w:val="00F06D47"/>
    <w:rsid w:val="00F06E10"/>
    <w:rsid w:val="00F11E3A"/>
    <w:rsid w:val="00F1316E"/>
    <w:rsid w:val="00F132E1"/>
    <w:rsid w:val="00F13AFB"/>
    <w:rsid w:val="00F13D50"/>
    <w:rsid w:val="00F13D52"/>
    <w:rsid w:val="00F1553C"/>
    <w:rsid w:val="00F17836"/>
    <w:rsid w:val="00F202DC"/>
    <w:rsid w:val="00F20F75"/>
    <w:rsid w:val="00F2150E"/>
    <w:rsid w:val="00F21773"/>
    <w:rsid w:val="00F22C10"/>
    <w:rsid w:val="00F2350A"/>
    <w:rsid w:val="00F23B7A"/>
    <w:rsid w:val="00F2451C"/>
    <w:rsid w:val="00F247FE"/>
    <w:rsid w:val="00F2580C"/>
    <w:rsid w:val="00F27787"/>
    <w:rsid w:val="00F3002B"/>
    <w:rsid w:val="00F30A87"/>
    <w:rsid w:val="00F30C41"/>
    <w:rsid w:val="00F31AF8"/>
    <w:rsid w:val="00F32266"/>
    <w:rsid w:val="00F32DE4"/>
    <w:rsid w:val="00F33A9D"/>
    <w:rsid w:val="00F33C5B"/>
    <w:rsid w:val="00F33E90"/>
    <w:rsid w:val="00F343F0"/>
    <w:rsid w:val="00F36866"/>
    <w:rsid w:val="00F37847"/>
    <w:rsid w:val="00F41BE6"/>
    <w:rsid w:val="00F42D8C"/>
    <w:rsid w:val="00F4390A"/>
    <w:rsid w:val="00F44A60"/>
    <w:rsid w:val="00F44AA1"/>
    <w:rsid w:val="00F469AD"/>
    <w:rsid w:val="00F47096"/>
    <w:rsid w:val="00F47B8A"/>
    <w:rsid w:val="00F51468"/>
    <w:rsid w:val="00F51AAF"/>
    <w:rsid w:val="00F5330F"/>
    <w:rsid w:val="00F53685"/>
    <w:rsid w:val="00F53FAE"/>
    <w:rsid w:val="00F55C32"/>
    <w:rsid w:val="00F55FD7"/>
    <w:rsid w:val="00F56106"/>
    <w:rsid w:val="00F56DFC"/>
    <w:rsid w:val="00F625B4"/>
    <w:rsid w:val="00F6341E"/>
    <w:rsid w:val="00F63609"/>
    <w:rsid w:val="00F637AB"/>
    <w:rsid w:val="00F64A4A"/>
    <w:rsid w:val="00F65785"/>
    <w:rsid w:val="00F65932"/>
    <w:rsid w:val="00F65D17"/>
    <w:rsid w:val="00F67BAE"/>
    <w:rsid w:val="00F70402"/>
    <w:rsid w:val="00F70F22"/>
    <w:rsid w:val="00F71510"/>
    <w:rsid w:val="00F7178D"/>
    <w:rsid w:val="00F718F3"/>
    <w:rsid w:val="00F73086"/>
    <w:rsid w:val="00F730D5"/>
    <w:rsid w:val="00F7576C"/>
    <w:rsid w:val="00F76D07"/>
    <w:rsid w:val="00F77164"/>
    <w:rsid w:val="00F77477"/>
    <w:rsid w:val="00F81544"/>
    <w:rsid w:val="00F81BCF"/>
    <w:rsid w:val="00F821C9"/>
    <w:rsid w:val="00F82A79"/>
    <w:rsid w:val="00F82EA6"/>
    <w:rsid w:val="00F8373E"/>
    <w:rsid w:val="00F83C4C"/>
    <w:rsid w:val="00F8541C"/>
    <w:rsid w:val="00F85A72"/>
    <w:rsid w:val="00F85BE0"/>
    <w:rsid w:val="00F85F9A"/>
    <w:rsid w:val="00F860E8"/>
    <w:rsid w:val="00F86539"/>
    <w:rsid w:val="00F86608"/>
    <w:rsid w:val="00F869D1"/>
    <w:rsid w:val="00F86DA4"/>
    <w:rsid w:val="00F86F09"/>
    <w:rsid w:val="00F875D6"/>
    <w:rsid w:val="00F87683"/>
    <w:rsid w:val="00F87C2D"/>
    <w:rsid w:val="00F90C50"/>
    <w:rsid w:val="00F91A4C"/>
    <w:rsid w:val="00F92468"/>
    <w:rsid w:val="00F9260A"/>
    <w:rsid w:val="00F928DE"/>
    <w:rsid w:val="00F938E8"/>
    <w:rsid w:val="00F93BF4"/>
    <w:rsid w:val="00F95668"/>
    <w:rsid w:val="00F9583C"/>
    <w:rsid w:val="00F961CB"/>
    <w:rsid w:val="00F96CAC"/>
    <w:rsid w:val="00F96F4E"/>
    <w:rsid w:val="00F9725F"/>
    <w:rsid w:val="00F97479"/>
    <w:rsid w:val="00F97680"/>
    <w:rsid w:val="00FA00F6"/>
    <w:rsid w:val="00FA0A6F"/>
    <w:rsid w:val="00FA0E8D"/>
    <w:rsid w:val="00FA1CED"/>
    <w:rsid w:val="00FA35C4"/>
    <w:rsid w:val="00FA4BAC"/>
    <w:rsid w:val="00FA5647"/>
    <w:rsid w:val="00FA6E9F"/>
    <w:rsid w:val="00FA786E"/>
    <w:rsid w:val="00FB008C"/>
    <w:rsid w:val="00FB0220"/>
    <w:rsid w:val="00FB040B"/>
    <w:rsid w:val="00FB0949"/>
    <w:rsid w:val="00FB0C00"/>
    <w:rsid w:val="00FB269A"/>
    <w:rsid w:val="00FB33EE"/>
    <w:rsid w:val="00FB3F48"/>
    <w:rsid w:val="00FB504A"/>
    <w:rsid w:val="00FB52B3"/>
    <w:rsid w:val="00FB5791"/>
    <w:rsid w:val="00FB5DDA"/>
    <w:rsid w:val="00FB61C1"/>
    <w:rsid w:val="00FB6217"/>
    <w:rsid w:val="00FB6DD3"/>
    <w:rsid w:val="00FB738A"/>
    <w:rsid w:val="00FB74EB"/>
    <w:rsid w:val="00FC1776"/>
    <w:rsid w:val="00FC2676"/>
    <w:rsid w:val="00FC2C4B"/>
    <w:rsid w:val="00FC3C24"/>
    <w:rsid w:val="00FC4283"/>
    <w:rsid w:val="00FC4DF2"/>
    <w:rsid w:val="00FC4F0E"/>
    <w:rsid w:val="00FC6E38"/>
    <w:rsid w:val="00FD1312"/>
    <w:rsid w:val="00FD1EE2"/>
    <w:rsid w:val="00FD2435"/>
    <w:rsid w:val="00FD3164"/>
    <w:rsid w:val="00FD491C"/>
    <w:rsid w:val="00FD4B23"/>
    <w:rsid w:val="00FD51FC"/>
    <w:rsid w:val="00FD5246"/>
    <w:rsid w:val="00FD5D6E"/>
    <w:rsid w:val="00FD6B85"/>
    <w:rsid w:val="00FD7935"/>
    <w:rsid w:val="00FD7F2E"/>
    <w:rsid w:val="00FD7F99"/>
    <w:rsid w:val="00FE0D4C"/>
    <w:rsid w:val="00FE264B"/>
    <w:rsid w:val="00FE2897"/>
    <w:rsid w:val="00FE2EE7"/>
    <w:rsid w:val="00FE36C9"/>
    <w:rsid w:val="00FE3DC6"/>
    <w:rsid w:val="00FE5102"/>
    <w:rsid w:val="00FE5483"/>
    <w:rsid w:val="00FE56CB"/>
    <w:rsid w:val="00FE65FC"/>
    <w:rsid w:val="00FE6CBF"/>
    <w:rsid w:val="00FE6F69"/>
    <w:rsid w:val="00FE769A"/>
    <w:rsid w:val="00FE7771"/>
    <w:rsid w:val="00FF064C"/>
    <w:rsid w:val="00FF0A78"/>
    <w:rsid w:val="00FF0C10"/>
    <w:rsid w:val="00FF0E1C"/>
    <w:rsid w:val="00FF5A7E"/>
    <w:rsid w:val="00FF5C69"/>
    <w:rsid w:val="00FF6721"/>
    <w:rsid w:val="00FF68C5"/>
    <w:rsid w:val="00FF6D8B"/>
    <w:rsid w:val="00FF7976"/>
    <w:rsid w:val="00FF7DD3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A46CF"/>
  <w15:chartTrackingRefBased/>
  <w15:docId w15:val="{C4CB4C33-5715-412E-A546-22FB40CB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B6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8B7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7BA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3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CE3F8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4DF2"/>
  </w:style>
  <w:style w:type="paragraph" w:styleId="Noga">
    <w:name w:val="footer"/>
    <w:basedOn w:val="Navaden"/>
    <w:link w:val="Nog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4DF2"/>
  </w:style>
  <w:style w:type="paragraph" w:styleId="Telobesedila2">
    <w:name w:val="Body Text 2"/>
    <w:basedOn w:val="Navaden"/>
    <w:link w:val="Telobesedila2Znak"/>
    <w:semiHidden/>
    <w:rsid w:val="00532E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lobesedila2Znak">
    <w:name w:val="Telo besedila 2 Znak"/>
    <w:basedOn w:val="Privzetapisavaodstavka"/>
    <w:link w:val="Telobesedila2"/>
    <w:semiHidden/>
    <w:rsid w:val="00532EC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Navadensplet">
    <w:name w:val="Normal (Web)"/>
    <w:basedOn w:val="Navaden"/>
    <w:uiPriority w:val="99"/>
    <w:unhideWhenUsed/>
    <w:rsid w:val="00EF199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619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19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19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19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19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196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32C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B72D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B6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6B6D9E"/>
    <w:pPr>
      <w:numPr>
        <w:numId w:val="17"/>
      </w:numPr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377311"/>
    <w:pPr>
      <w:spacing w:after="100"/>
      <w:ind w:left="220"/>
    </w:pPr>
    <w:rPr>
      <w:rFonts w:eastAsiaTheme="minorEastAsia" w:cs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377311"/>
    <w:pPr>
      <w:spacing w:after="100"/>
    </w:pPr>
    <w:rPr>
      <w:rFonts w:eastAsiaTheme="minorEastAsia" w:cs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377311"/>
    <w:pPr>
      <w:spacing w:after="100"/>
      <w:ind w:left="440"/>
    </w:pPr>
    <w:rPr>
      <w:rFonts w:eastAsiaTheme="minorEastAsia" w:cs="Times New Roman"/>
      <w:lang w:eastAsia="sl-SI"/>
    </w:rPr>
  </w:style>
  <w:style w:type="paragraph" w:styleId="Revizija">
    <w:name w:val="Revision"/>
    <w:hidden/>
    <w:uiPriority w:val="99"/>
    <w:semiHidden/>
    <w:rsid w:val="00977B98"/>
    <w:pPr>
      <w:spacing w:after="0" w:line="240" w:lineRule="auto"/>
    </w:pPr>
  </w:style>
  <w:style w:type="numbering" w:customStyle="1" w:styleId="Slog1">
    <w:name w:val="Slog1"/>
    <w:uiPriority w:val="99"/>
    <w:rsid w:val="008C33E9"/>
    <w:pPr>
      <w:numPr>
        <w:numId w:val="18"/>
      </w:numPr>
    </w:pPr>
  </w:style>
  <w:style w:type="paragraph" w:customStyle="1" w:styleId="Slog2">
    <w:name w:val="Slog2"/>
    <w:basedOn w:val="Odstavekseznama"/>
    <w:link w:val="Slog2Znak"/>
    <w:qFormat/>
    <w:rsid w:val="008C33E9"/>
    <w:pPr>
      <w:numPr>
        <w:numId w:val="12"/>
      </w:numPr>
      <w:jc w:val="both"/>
    </w:pPr>
    <w:rPr>
      <w:rFonts w:ascii="Open Sans" w:hAnsi="Open Sans" w:cs="Open Sans"/>
      <w:b/>
      <w:sz w:val="24"/>
      <w:szCs w:val="24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C33E9"/>
  </w:style>
  <w:style w:type="character" w:customStyle="1" w:styleId="Slog2Znak">
    <w:name w:val="Slog2 Znak"/>
    <w:basedOn w:val="OdstavekseznamaZnak"/>
    <w:link w:val="Slog2"/>
    <w:rsid w:val="008C33E9"/>
    <w:rPr>
      <w:rFonts w:ascii="Open Sans" w:hAnsi="Open Sans" w:cs="Open San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am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m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onet.ljse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5871E8-449F-4720-A0A5-00E8072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Čmrlec</dc:creator>
  <cp:keywords/>
  <dc:description/>
  <cp:lastModifiedBy>Nina Radman</cp:lastModifiedBy>
  <cp:revision>17</cp:revision>
  <cp:lastPrinted>2021-08-16T10:36:00Z</cp:lastPrinted>
  <dcterms:created xsi:type="dcterms:W3CDTF">2022-09-05T10:47:00Z</dcterms:created>
  <dcterms:modified xsi:type="dcterms:W3CDTF">2022-09-15T11:00:00Z</dcterms:modified>
</cp:coreProperties>
</file>